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Ind w:w="-5" w:type="dxa"/>
        <w:tblCellMar>
          <w:left w:w="0" w:type="dxa"/>
          <w:right w:w="0" w:type="dxa"/>
        </w:tblCellMar>
        <w:tblLook w:val="04A0" w:firstRow="1" w:lastRow="0" w:firstColumn="1" w:lastColumn="0" w:noHBand="0" w:noVBand="1"/>
      </w:tblPr>
      <w:tblGrid>
        <w:gridCol w:w="3378"/>
        <w:gridCol w:w="4390"/>
        <w:gridCol w:w="3022"/>
        <w:gridCol w:w="3835"/>
      </w:tblGrid>
      <w:tr w:rsidR="00DA5F98" w:rsidRPr="00B2211F" w14:paraId="25E8056F" w14:textId="77777777" w:rsidTr="00731B44">
        <w:trPr>
          <w:cantSplit/>
          <w:trHeight w:val="154"/>
          <w:tblHeader/>
        </w:trPr>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D00"/>
            <w:tcMar>
              <w:top w:w="15" w:type="dxa"/>
              <w:left w:w="108" w:type="dxa"/>
              <w:bottom w:w="0" w:type="dxa"/>
              <w:right w:w="108" w:type="dxa"/>
            </w:tcMar>
            <w:hideMark/>
          </w:tcPr>
          <w:p w14:paraId="4BD42DA6" w14:textId="77777777" w:rsidR="00DA5F98" w:rsidRPr="00112424" w:rsidRDefault="00DA5F98" w:rsidP="00DA5F98">
            <w:pPr>
              <w:pStyle w:val="Table-FocusArea"/>
              <w:rPr>
                <w:szCs w:val="24"/>
              </w:rPr>
            </w:pPr>
            <w:bookmarkStart w:id="0" w:name="_GoBack"/>
            <w:bookmarkEnd w:id="0"/>
            <w:r w:rsidRPr="00112424">
              <w:rPr>
                <w:szCs w:val="24"/>
              </w:rPr>
              <w:t>Focus Area 2:</w:t>
            </w:r>
            <w:r w:rsidRPr="00112424">
              <w:rPr>
                <w:szCs w:val="24"/>
              </w:rPr>
              <w:tab/>
              <w:t>Environmental Risk Factors and Health</w:t>
            </w:r>
          </w:p>
        </w:tc>
      </w:tr>
      <w:tr w:rsidR="00DA5F98" w:rsidRPr="00B2211F" w14:paraId="1C7333F0" w14:textId="77777777" w:rsidTr="00731B44">
        <w:trPr>
          <w:cantSplit/>
          <w:trHeight w:val="82"/>
          <w:tblHeader/>
        </w:trPr>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D00"/>
            <w:tcMar>
              <w:top w:w="15" w:type="dxa"/>
              <w:left w:w="108" w:type="dxa"/>
              <w:bottom w:w="0" w:type="dxa"/>
              <w:right w:w="108" w:type="dxa"/>
            </w:tcMar>
            <w:hideMark/>
          </w:tcPr>
          <w:p w14:paraId="51253BC7" w14:textId="77777777" w:rsidR="00DA5F98" w:rsidRPr="00112424" w:rsidRDefault="00DA5F98" w:rsidP="00451BB9">
            <w:pPr>
              <w:pStyle w:val="Table-Goal"/>
              <w:rPr>
                <w:sz w:val="24"/>
                <w:szCs w:val="24"/>
              </w:rPr>
            </w:pPr>
            <w:r w:rsidRPr="00112424">
              <w:rPr>
                <w:color w:val="FFFFFF" w:themeColor="background1"/>
                <w:sz w:val="24"/>
                <w:szCs w:val="24"/>
              </w:rPr>
              <w:t>Goal 2:</w:t>
            </w:r>
            <w:r w:rsidRPr="00112424">
              <w:rPr>
                <w:color w:val="FFFFFF" w:themeColor="background1"/>
                <w:sz w:val="24"/>
                <w:szCs w:val="24"/>
              </w:rPr>
              <w:tab/>
              <w:t>Enhance public health by decreasing environmental risk factors.</w:t>
            </w:r>
          </w:p>
        </w:tc>
      </w:tr>
      <w:tr w:rsidR="00DA5F98" w:rsidRPr="00B2211F" w14:paraId="24A5DE61" w14:textId="77777777" w:rsidTr="00731B44">
        <w:trPr>
          <w:cantSplit/>
          <w:trHeight w:val="60"/>
          <w:tblHeader/>
        </w:trPr>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D00"/>
            <w:tcMar>
              <w:top w:w="15" w:type="dxa"/>
              <w:left w:w="108" w:type="dxa"/>
              <w:bottom w:w="0" w:type="dxa"/>
              <w:right w:w="108" w:type="dxa"/>
            </w:tcMar>
            <w:hideMark/>
          </w:tcPr>
          <w:p w14:paraId="0A9C2E38" w14:textId="77777777" w:rsidR="00DA5F98" w:rsidRPr="00112424" w:rsidRDefault="00DA5F98" w:rsidP="00451BB9">
            <w:pPr>
              <w:pStyle w:val="Table-Goal"/>
              <w:rPr>
                <w:sz w:val="24"/>
                <w:szCs w:val="24"/>
              </w:rPr>
            </w:pPr>
            <w:r w:rsidRPr="00112424">
              <w:rPr>
                <w:color w:val="FFFFFF" w:themeColor="background1"/>
                <w:sz w:val="24"/>
                <w:szCs w:val="24"/>
              </w:rPr>
              <w:t xml:space="preserve">Area of Concentration: </w:t>
            </w:r>
            <w:r w:rsidRPr="00112424">
              <w:rPr>
                <w:color w:val="FFFFFF" w:themeColor="background1"/>
                <w:sz w:val="24"/>
                <w:szCs w:val="24"/>
              </w:rPr>
              <w:tab/>
              <w:t>Lead</w:t>
            </w:r>
          </w:p>
        </w:tc>
      </w:tr>
      <w:tr w:rsidR="00DA5F98" w:rsidRPr="00B2211F" w14:paraId="616E9A97" w14:textId="77777777" w:rsidTr="00731B44">
        <w:trPr>
          <w:cantSplit/>
          <w:trHeight w:val="418"/>
          <w:tblHeader/>
        </w:trPr>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FFE6"/>
            <w:tcMar>
              <w:top w:w="15" w:type="dxa"/>
              <w:left w:w="108" w:type="dxa"/>
              <w:bottom w:w="0" w:type="dxa"/>
              <w:right w:w="108" w:type="dxa"/>
            </w:tcMar>
            <w:hideMark/>
          </w:tcPr>
          <w:p w14:paraId="0A510662" w14:textId="77777777" w:rsidR="00DA5F98" w:rsidRPr="00112424" w:rsidRDefault="00DA5F98" w:rsidP="0034693C">
            <w:pPr>
              <w:pStyle w:val="Table-Objectives"/>
              <w:rPr>
                <w:sz w:val="24"/>
                <w:szCs w:val="24"/>
              </w:rPr>
            </w:pPr>
            <w:r w:rsidRPr="00112424">
              <w:rPr>
                <w:sz w:val="24"/>
                <w:szCs w:val="24"/>
              </w:rPr>
              <w:t xml:space="preserve">SHIP Objective ENV-1: </w:t>
            </w:r>
            <w:r w:rsidRPr="00112424">
              <w:rPr>
                <w:sz w:val="24"/>
                <w:szCs w:val="24"/>
              </w:rPr>
              <w:tab/>
            </w:r>
            <w:r w:rsidR="008D73CD" w:rsidRPr="00112424">
              <w:rPr>
                <w:sz w:val="24"/>
                <w:szCs w:val="24"/>
              </w:rPr>
              <w:t>Reduce to less than 2.9</w:t>
            </w:r>
            <w:r w:rsidRPr="00112424">
              <w:rPr>
                <w:sz w:val="24"/>
                <w:szCs w:val="24"/>
              </w:rPr>
              <w:t>% the prevalence rate of children less than 6 years of age with confirmed blood lead levels at or above the CDC reference value (5 µg/dL).</w:t>
            </w:r>
            <w:r w:rsidRPr="00112424">
              <w:rPr>
                <w:sz w:val="24"/>
                <w:szCs w:val="24"/>
              </w:rPr>
              <w:tab/>
            </w:r>
          </w:p>
        </w:tc>
      </w:tr>
      <w:tr w:rsidR="00DA5F98" w:rsidRPr="00B2211F" w14:paraId="4D9AC1B1" w14:textId="77777777" w:rsidTr="00731B44">
        <w:trPr>
          <w:cantSplit/>
          <w:trHeight w:val="418"/>
          <w:tblHeader/>
        </w:trPr>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FFE6"/>
            <w:tcMar>
              <w:top w:w="15" w:type="dxa"/>
              <w:left w:w="108" w:type="dxa"/>
              <w:bottom w:w="0" w:type="dxa"/>
              <w:right w:w="108" w:type="dxa"/>
            </w:tcMar>
            <w:hideMark/>
          </w:tcPr>
          <w:p w14:paraId="6B2D8D83" w14:textId="77777777" w:rsidR="00DA5F98" w:rsidRPr="00112424" w:rsidRDefault="00DA5F98" w:rsidP="00112424">
            <w:pPr>
              <w:pStyle w:val="Table-Objectives"/>
              <w:rPr>
                <w:sz w:val="24"/>
                <w:szCs w:val="24"/>
              </w:rPr>
            </w:pPr>
            <w:r w:rsidRPr="00112424">
              <w:rPr>
                <w:sz w:val="24"/>
                <w:szCs w:val="24"/>
              </w:rPr>
              <w:t>Dashboard Indicator:</w:t>
            </w:r>
            <w:r w:rsidRPr="00112424">
              <w:rPr>
                <w:sz w:val="24"/>
                <w:szCs w:val="24"/>
              </w:rPr>
              <w:tab/>
            </w:r>
            <w:hyperlink r:id="rId9" w:history="1">
              <w:r w:rsidR="0013605A" w:rsidRPr="00112424">
                <w:rPr>
                  <w:rStyle w:val="Hyperlink"/>
                  <w:sz w:val="24"/>
                  <w:szCs w:val="24"/>
                </w:rPr>
                <w:t>Prevalence rate of children less than 6 years of age with confirmed blood lead levels at or above the CDC reference value (5 µg/dL).</w:t>
              </w:r>
            </w:hyperlink>
          </w:p>
        </w:tc>
      </w:tr>
      <w:tr w:rsidR="00DA5F98" w:rsidRPr="00B2211F" w14:paraId="7E42A3E3" w14:textId="77777777" w:rsidTr="00731B44">
        <w:trPr>
          <w:cantSplit/>
          <w:trHeight w:val="366"/>
          <w:tblHeader/>
        </w:trPr>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08" w:type="dxa"/>
              <w:bottom w:w="0" w:type="dxa"/>
              <w:right w:w="108" w:type="dxa"/>
            </w:tcMar>
            <w:hideMark/>
          </w:tcPr>
          <w:p w14:paraId="45057ABE" w14:textId="77777777" w:rsidR="00DA5F98" w:rsidRPr="00112424" w:rsidRDefault="00DA5F98" w:rsidP="00451BB9">
            <w:pPr>
              <w:pStyle w:val="Table-Goal"/>
              <w:rPr>
                <w:sz w:val="24"/>
                <w:szCs w:val="24"/>
              </w:rPr>
            </w:pPr>
          </w:p>
        </w:tc>
      </w:tr>
      <w:tr w:rsidR="00E86131" w:rsidRPr="00B22F12" w14:paraId="3371CC19" w14:textId="77777777" w:rsidTr="00731B44">
        <w:trPr>
          <w:cantSplit/>
          <w:trHeight w:val="307"/>
          <w:tblHeader/>
        </w:trPr>
        <w:tc>
          <w:tcPr>
            <w:tcW w:w="115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FFE6"/>
            <w:tcMar>
              <w:top w:w="15" w:type="dxa"/>
              <w:left w:w="108" w:type="dxa"/>
              <w:bottom w:w="0" w:type="dxa"/>
              <w:right w:w="108" w:type="dxa"/>
            </w:tcMar>
            <w:vAlign w:val="center"/>
            <w:hideMark/>
          </w:tcPr>
          <w:p w14:paraId="5D9625A3" w14:textId="77777777" w:rsidR="00323F5C" w:rsidRPr="00112424" w:rsidRDefault="00323F5C" w:rsidP="00451BB9">
            <w:pPr>
              <w:pStyle w:val="Table-ActionTitles"/>
              <w:rPr>
                <w:sz w:val="24"/>
                <w:szCs w:val="24"/>
              </w:rPr>
            </w:pPr>
            <w:r w:rsidRPr="00112424">
              <w:rPr>
                <w:sz w:val="24"/>
                <w:szCs w:val="24"/>
              </w:rPr>
              <w:t>Strategies</w:t>
            </w:r>
          </w:p>
        </w:tc>
        <w:tc>
          <w:tcPr>
            <w:tcW w:w="150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FFE6"/>
            <w:tcMar>
              <w:top w:w="15" w:type="dxa"/>
              <w:left w:w="108" w:type="dxa"/>
              <w:bottom w:w="0" w:type="dxa"/>
              <w:right w:w="108" w:type="dxa"/>
            </w:tcMar>
            <w:vAlign w:val="center"/>
            <w:hideMark/>
          </w:tcPr>
          <w:p w14:paraId="642EC6E3" w14:textId="77777777" w:rsidR="00323F5C" w:rsidRPr="00112424" w:rsidRDefault="00323F5C" w:rsidP="00451BB9">
            <w:pPr>
              <w:pStyle w:val="Table-ActionTitles"/>
              <w:rPr>
                <w:sz w:val="24"/>
                <w:szCs w:val="24"/>
              </w:rPr>
            </w:pPr>
            <w:r w:rsidRPr="00112424">
              <w:rPr>
                <w:sz w:val="24"/>
                <w:szCs w:val="24"/>
              </w:rPr>
              <w:t>Actions and Timeframes</w:t>
            </w:r>
          </w:p>
        </w:tc>
        <w:tc>
          <w:tcPr>
            <w:tcW w:w="1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FFE6"/>
            <w:tcMar>
              <w:top w:w="15" w:type="dxa"/>
              <w:left w:w="108" w:type="dxa"/>
              <w:bottom w:w="0" w:type="dxa"/>
              <w:right w:w="108" w:type="dxa"/>
            </w:tcMar>
            <w:vAlign w:val="center"/>
            <w:hideMark/>
          </w:tcPr>
          <w:p w14:paraId="7190E926" w14:textId="77777777" w:rsidR="00323F5C" w:rsidRPr="00112424" w:rsidRDefault="00323F5C" w:rsidP="00451BB9">
            <w:pPr>
              <w:pStyle w:val="Table-ActionTitles"/>
              <w:rPr>
                <w:sz w:val="24"/>
                <w:szCs w:val="24"/>
              </w:rPr>
            </w:pPr>
            <w:r w:rsidRPr="00112424">
              <w:rPr>
                <w:sz w:val="24"/>
                <w:szCs w:val="24"/>
              </w:rPr>
              <w:t>Partners Responsible</w:t>
            </w:r>
          </w:p>
        </w:tc>
        <w:tc>
          <w:tcPr>
            <w:tcW w:w="13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FFE6"/>
            <w:tcMar>
              <w:top w:w="15" w:type="dxa"/>
              <w:left w:w="108" w:type="dxa"/>
              <w:bottom w:w="0" w:type="dxa"/>
              <w:right w:w="108" w:type="dxa"/>
            </w:tcMar>
            <w:vAlign w:val="center"/>
            <w:hideMark/>
          </w:tcPr>
          <w:p w14:paraId="5F4D4C37" w14:textId="77777777" w:rsidR="00323F5C" w:rsidRPr="00112424" w:rsidRDefault="00323F5C" w:rsidP="003B1320">
            <w:pPr>
              <w:pStyle w:val="Table-ActionTitles"/>
              <w:rPr>
                <w:sz w:val="24"/>
                <w:szCs w:val="24"/>
              </w:rPr>
            </w:pPr>
            <w:r w:rsidRPr="00112424">
              <w:rPr>
                <w:sz w:val="24"/>
                <w:szCs w:val="24"/>
              </w:rPr>
              <w:t xml:space="preserve">Progress </w:t>
            </w:r>
          </w:p>
        </w:tc>
      </w:tr>
      <w:tr w:rsidR="00792D42" w:rsidRPr="00AF7018" w14:paraId="7876D103" w14:textId="77777777" w:rsidTr="00731B44">
        <w:trPr>
          <w:cantSplit/>
          <w:trHeight w:val="1000"/>
        </w:trPr>
        <w:tc>
          <w:tcPr>
            <w:tcW w:w="1155"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2FAFA710" w14:textId="77777777" w:rsidR="00792D42" w:rsidRPr="00AF7018" w:rsidRDefault="00792D42" w:rsidP="0034693C">
            <w:pPr>
              <w:pStyle w:val="Table-Strategies"/>
              <w:rPr>
                <w:rFonts w:cstheme="minorHAnsi"/>
                <w:szCs w:val="20"/>
              </w:rPr>
            </w:pPr>
            <w:r w:rsidRPr="00AF7018">
              <w:rPr>
                <w:rFonts w:cstheme="minorHAnsi"/>
                <w:szCs w:val="20"/>
              </w:rPr>
              <w:t>Encourage local, state, and other federal agencies to facilitate data-sharing between health and housing agencies and ensure lead data is shared in a timely manner.</w:t>
            </w:r>
          </w:p>
        </w:tc>
        <w:tc>
          <w:tcPr>
            <w:tcW w:w="150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024B561B" w14:textId="0978049A" w:rsidR="00D80DBB" w:rsidRPr="00AF7018" w:rsidRDefault="00792D42" w:rsidP="000A636A">
            <w:pPr>
              <w:pStyle w:val="Table-ActionSteps"/>
              <w:rPr>
                <w:rFonts w:cstheme="minorHAnsi"/>
                <w:szCs w:val="20"/>
              </w:rPr>
            </w:pPr>
            <w:r w:rsidRPr="00AF7018">
              <w:rPr>
                <w:rFonts w:cstheme="minorHAnsi"/>
                <w:szCs w:val="20"/>
              </w:rPr>
              <w:t>Promote collaboration between DPH, LHDs, PHAs and state housing agencies with regard to available data</w:t>
            </w:r>
          </w:p>
          <w:p w14:paraId="01D28F35" w14:textId="77777777" w:rsidR="00D80DBB" w:rsidRPr="00AF7018" w:rsidRDefault="00D80DBB" w:rsidP="00D80DBB">
            <w:pPr>
              <w:rPr>
                <w:rFonts w:cstheme="minorHAnsi"/>
                <w:sz w:val="20"/>
                <w:szCs w:val="20"/>
              </w:rPr>
            </w:pPr>
          </w:p>
          <w:p w14:paraId="146CF80B" w14:textId="77777777" w:rsidR="00D80DBB" w:rsidRPr="00AF7018" w:rsidRDefault="00D80DBB" w:rsidP="00D80DBB">
            <w:pPr>
              <w:rPr>
                <w:rFonts w:cstheme="minorHAnsi"/>
                <w:sz w:val="20"/>
                <w:szCs w:val="20"/>
              </w:rPr>
            </w:pPr>
          </w:p>
          <w:p w14:paraId="15C43E10" w14:textId="77777777" w:rsidR="00D80DBB" w:rsidRPr="00AF7018" w:rsidRDefault="00D80DBB" w:rsidP="00D80DBB">
            <w:pPr>
              <w:rPr>
                <w:rFonts w:cstheme="minorHAnsi"/>
                <w:sz w:val="20"/>
                <w:szCs w:val="20"/>
              </w:rPr>
            </w:pPr>
          </w:p>
          <w:p w14:paraId="68683883" w14:textId="77777777" w:rsidR="00D80DBB" w:rsidRPr="00AF7018" w:rsidRDefault="00D80DBB" w:rsidP="00D80DBB">
            <w:pPr>
              <w:rPr>
                <w:rFonts w:cstheme="minorHAnsi"/>
                <w:sz w:val="20"/>
                <w:szCs w:val="20"/>
              </w:rPr>
            </w:pPr>
          </w:p>
          <w:p w14:paraId="00E284DA" w14:textId="77777777" w:rsidR="00D80DBB" w:rsidRPr="00AF7018" w:rsidRDefault="00D80DBB" w:rsidP="00D80DBB">
            <w:pPr>
              <w:rPr>
                <w:rFonts w:cstheme="minorHAnsi"/>
                <w:sz w:val="20"/>
                <w:szCs w:val="20"/>
              </w:rPr>
            </w:pPr>
          </w:p>
          <w:p w14:paraId="20452943" w14:textId="77777777" w:rsidR="00D80DBB" w:rsidRPr="00AF7018" w:rsidRDefault="00D80DBB" w:rsidP="00D80DBB">
            <w:pPr>
              <w:rPr>
                <w:rFonts w:cstheme="minorHAnsi"/>
                <w:sz w:val="20"/>
                <w:szCs w:val="20"/>
              </w:rPr>
            </w:pPr>
          </w:p>
          <w:p w14:paraId="4FBD41BF" w14:textId="77777777" w:rsidR="00D80DBB" w:rsidRPr="00AF7018" w:rsidRDefault="00D80DBB" w:rsidP="00D80DBB">
            <w:pPr>
              <w:rPr>
                <w:rFonts w:cstheme="minorHAnsi"/>
                <w:sz w:val="20"/>
                <w:szCs w:val="20"/>
              </w:rPr>
            </w:pPr>
          </w:p>
          <w:p w14:paraId="774C62BC" w14:textId="77777777" w:rsidR="00D80DBB" w:rsidRPr="00AF7018" w:rsidRDefault="00D80DBB" w:rsidP="00D80DBB">
            <w:pPr>
              <w:rPr>
                <w:rFonts w:cstheme="minorHAnsi"/>
                <w:sz w:val="20"/>
                <w:szCs w:val="20"/>
              </w:rPr>
            </w:pPr>
          </w:p>
          <w:p w14:paraId="4351A9DA" w14:textId="77777777" w:rsidR="00D80DBB" w:rsidRPr="00AF7018" w:rsidRDefault="00D80DBB" w:rsidP="00D80DBB">
            <w:pPr>
              <w:rPr>
                <w:rFonts w:cstheme="minorHAnsi"/>
                <w:sz w:val="20"/>
                <w:szCs w:val="20"/>
              </w:rPr>
            </w:pPr>
          </w:p>
          <w:p w14:paraId="75722CE2" w14:textId="77777777" w:rsidR="00D80DBB" w:rsidRPr="00AF7018" w:rsidRDefault="00D80DBB" w:rsidP="00D80DBB">
            <w:pPr>
              <w:rPr>
                <w:rFonts w:cstheme="minorHAnsi"/>
                <w:sz w:val="20"/>
                <w:szCs w:val="20"/>
              </w:rPr>
            </w:pPr>
          </w:p>
          <w:p w14:paraId="427373D8" w14:textId="77777777" w:rsidR="00D80DBB" w:rsidRPr="00AF7018" w:rsidRDefault="00D80DBB" w:rsidP="00D80DBB">
            <w:pPr>
              <w:rPr>
                <w:rFonts w:cstheme="minorHAnsi"/>
                <w:sz w:val="20"/>
                <w:szCs w:val="20"/>
              </w:rPr>
            </w:pPr>
          </w:p>
          <w:p w14:paraId="647C813A" w14:textId="77777777" w:rsidR="00D80DBB" w:rsidRPr="00AF7018" w:rsidRDefault="00D80DBB" w:rsidP="00D80DBB">
            <w:pPr>
              <w:rPr>
                <w:rFonts w:cstheme="minorHAnsi"/>
                <w:sz w:val="20"/>
                <w:szCs w:val="20"/>
              </w:rPr>
            </w:pPr>
          </w:p>
          <w:p w14:paraId="354EFDE0" w14:textId="77777777" w:rsidR="00D80DBB" w:rsidRPr="00AF7018" w:rsidRDefault="00D80DBB" w:rsidP="00D80DBB">
            <w:pPr>
              <w:rPr>
                <w:rFonts w:cstheme="minorHAnsi"/>
                <w:sz w:val="20"/>
                <w:szCs w:val="20"/>
              </w:rPr>
            </w:pPr>
          </w:p>
          <w:p w14:paraId="4E7929F4" w14:textId="77777777" w:rsidR="00D80DBB" w:rsidRPr="00AF7018" w:rsidRDefault="00D80DBB" w:rsidP="00D80DBB">
            <w:pPr>
              <w:rPr>
                <w:rFonts w:cstheme="minorHAnsi"/>
                <w:sz w:val="20"/>
                <w:szCs w:val="20"/>
              </w:rPr>
            </w:pPr>
          </w:p>
          <w:p w14:paraId="78D057E1" w14:textId="77777777" w:rsidR="00D80DBB" w:rsidRPr="00AF7018" w:rsidRDefault="00D80DBB" w:rsidP="00D80DBB">
            <w:pPr>
              <w:rPr>
                <w:rFonts w:cstheme="minorHAnsi"/>
                <w:sz w:val="20"/>
                <w:szCs w:val="20"/>
              </w:rPr>
            </w:pPr>
          </w:p>
          <w:p w14:paraId="7DAFEA0D" w14:textId="77777777" w:rsidR="00D80DBB" w:rsidRPr="00AF7018" w:rsidRDefault="00D80DBB" w:rsidP="00D80DBB">
            <w:pPr>
              <w:rPr>
                <w:rFonts w:cstheme="minorHAnsi"/>
                <w:sz w:val="20"/>
                <w:szCs w:val="20"/>
              </w:rPr>
            </w:pPr>
          </w:p>
          <w:p w14:paraId="4DA16BE0" w14:textId="77777777" w:rsidR="00D80DBB" w:rsidRPr="00AF7018" w:rsidRDefault="00D80DBB" w:rsidP="00D80DBB">
            <w:pPr>
              <w:rPr>
                <w:rFonts w:cstheme="minorHAnsi"/>
                <w:sz w:val="20"/>
                <w:szCs w:val="20"/>
              </w:rPr>
            </w:pPr>
          </w:p>
          <w:p w14:paraId="10EFC56F" w14:textId="60B2FD04" w:rsidR="00792D42" w:rsidRPr="00AF7018" w:rsidRDefault="00792D42" w:rsidP="00D80DBB">
            <w:pPr>
              <w:rPr>
                <w:rFonts w:cstheme="minorHAnsi"/>
                <w:sz w:val="20"/>
                <w:szCs w:val="20"/>
              </w:rPr>
            </w:pPr>
          </w:p>
        </w:tc>
        <w:tc>
          <w:tcPr>
            <w:tcW w:w="1033"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14:paraId="56522EB3" w14:textId="373A8611" w:rsidR="00792D42" w:rsidRPr="00AF7018" w:rsidRDefault="00792D42" w:rsidP="00D3111A">
            <w:pPr>
              <w:pStyle w:val="Table-Progress"/>
              <w:rPr>
                <w:rFonts w:cstheme="minorHAnsi"/>
                <w:szCs w:val="20"/>
              </w:rPr>
            </w:pPr>
            <w:r w:rsidRPr="00AF7018">
              <w:rPr>
                <w:rFonts w:cstheme="minorHAnsi"/>
                <w:szCs w:val="20"/>
              </w:rPr>
              <w:t>DOH, local PH</w:t>
            </w:r>
            <w:r w:rsidR="00E62F43" w:rsidRPr="00AF7018">
              <w:rPr>
                <w:rFonts w:cstheme="minorHAnsi"/>
                <w:szCs w:val="20"/>
              </w:rPr>
              <w:t>A</w:t>
            </w:r>
            <w:r w:rsidRPr="00AF7018">
              <w:rPr>
                <w:rFonts w:cstheme="minorHAnsi"/>
                <w:szCs w:val="20"/>
              </w:rPr>
              <w:t>s, CONN-NAHRO, DPH, LHD</w:t>
            </w:r>
            <w:r w:rsidR="00E62F43" w:rsidRPr="00AF7018">
              <w:rPr>
                <w:rFonts w:cstheme="minorHAnsi"/>
                <w:szCs w:val="20"/>
              </w:rPr>
              <w:t>s</w:t>
            </w:r>
          </w:p>
        </w:tc>
        <w:tc>
          <w:tcPr>
            <w:tcW w:w="131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20ABBAB6" w14:textId="77777777" w:rsidR="00F12144" w:rsidRPr="00AF7018" w:rsidRDefault="007E24E9" w:rsidP="00976C27">
            <w:pPr>
              <w:pStyle w:val="Table-Progress"/>
              <w:jc w:val="left"/>
              <w:rPr>
                <w:rFonts w:cstheme="minorHAnsi"/>
                <w:szCs w:val="20"/>
              </w:rPr>
            </w:pPr>
            <w:r w:rsidRPr="00AF7018">
              <w:rPr>
                <w:rFonts w:cstheme="minorHAnsi"/>
                <w:szCs w:val="20"/>
              </w:rPr>
              <w:t xml:space="preserve">January 2018 </w:t>
            </w:r>
            <w:r w:rsidR="007C12B0" w:rsidRPr="00AF7018">
              <w:rPr>
                <w:rFonts w:cstheme="minorHAnsi"/>
                <w:szCs w:val="20"/>
              </w:rPr>
              <w:t xml:space="preserve">DPH is </w:t>
            </w:r>
            <w:r w:rsidR="00976C27" w:rsidRPr="00AF7018">
              <w:rPr>
                <w:rFonts w:cstheme="minorHAnsi"/>
                <w:szCs w:val="20"/>
              </w:rPr>
              <w:t>in the process of executing confidentiality agreements</w:t>
            </w:r>
            <w:r w:rsidR="007C12B0" w:rsidRPr="00AF7018">
              <w:rPr>
                <w:rFonts w:cstheme="minorHAnsi"/>
                <w:szCs w:val="20"/>
              </w:rPr>
              <w:t xml:space="preserve"> with PHAs and Housing Firms to obtain</w:t>
            </w:r>
            <w:r w:rsidR="00976C27" w:rsidRPr="00AF7018">
              <w:rPr>
                <w:rFonts w:cstheme="minorHAnsi"/>
                <w:szCs w:val="20"/>
              </w:rPr>
              <w:t xml:space="preserve"> </w:t>
            </w:r>
            <w:r w:rsidR="007C12B0" w:rsidRPr="00AF7018">
              <w:rPr>
                <w:rFonts w:cstheme="minorHAnsi"/>
                <w:szCs w:val="20"/>
              </w:rPr>
              <w:t>clients’ addresses who are receiving tenant-based rental assistance.  DPH will compare the data in order to identify those children who have a blood lead level at or above 5 micrograms per deciliter who are members of the households which receive the rental assistance.  DPH will then share matched data with PHAs so that they may coordinate lead inspections.</w:t>
            </w:r>
          </w:p>
          <w:p w14:paraId="7726988D" w14:textId="77777777" w:rsidR="0070237B" w:rsidRPr="00AF7018" w:rsidRDefault="0070237B" w:rsidP="00976C27">
            <w:pPr>
              <w:pStyle w:val="Table-Progress"/>
              <w:jc w:val="left"/>
              <w:rPr>
                <w:rFonts w:cstheme="minorHAnsi"/>
                <w:szCs w:val="20"/>
              </w:rPr>
            </w:pPr>
          </w:p>
          <w:p w14:paraId="1BADDFFE" w14:textId="1D0759DA" w:rsidR="0070237B" w:rsidRPr="00AF7018" w:rsidRDefault="0070237B" w:rsidP="0070237B">
            <w:pPr>
              <w:pStyle w:val="Table-Progress"/>
              <w:jc w:val="left"/>
              <w:rPr>
                <w:rFonts w:cstheme="minorHAnsi"/>
                <w:szCs w:val="20"/>
              </w:rPr>
            </w:pPr>
            <w:r w:rsidRPr="00AF7018">
              <w:rPr>
                <w:rFonts w:cstheme="minorHAnsi"/>
                <w:szCs w:val="20"/>
              </w:rPr>
              <w:t xml:space="preserve">3/27/18 DPH Lead Program and HUD Region 1 Office presented to public housing authorities, local health departments and HUD funded program on the Lead Safe Housing Rule (LSHR).  The LSHR amendment requires lead inspections to be completed when a child, residing in a tenant-based rental assistance unit, has a blood lead level greater than 5 micrograms per deciliter.  </w:t>
            </w:r>
          </w:p>
        </w:tc>
      </w:tr>
      <w:tr w:rsidR="00523EB7" w:rsidRPr="00AF7018" w14:paraId="68FE6F87" w14:textId="77777777" w:rsidTr="0070237B">
        <w:trPr>
          <w:cantSplit/>
          <w:trHeight w:val="1180"/>
        </w:trPr>
        <w:tc>
          <w:tcPr>
            <w:tcW w:w="1155" w:type="pct"/>
            <w:tcBorders>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tcPr>
          <w:p w14:paraId="2209B260" w14:textId="77777777" w:rsidR="00523EB7" w:rsidRPr="00AF7018" w:rsidRDefault="00523EB7" w:rsidP="00C201AB">
            <w:pPr>
              <w:pStyle w:val="Table-Strategies"/>
              <w:rPr>
                <w:rFonts w:cstheme="minorHAnsi"/>
                <w:szCs w:val="20"/>
              </w:rPr>
            </w:pPr>
          </w:p>
        </w:tc>
        <w:tc>
          <w:tcPr>
            <w:tcW w:w="1501" w:type="pct"/>
            <w:tcBorders>
              <w:top w:val="single" w:sz="8" w:space="0" w:color="000000" w:themeColor="text1"/>
              <w:left w:val="single" w:sz="4" w:space="0" w:color="auto"/>
              <w:right w:val="single" w:sz="8" w:space="0" w:color="000000" w:themeColor="text1"/>
            </w:tcBorders>
            <w:shd w:val="clear" w:color="auto" w:fill="auto"/>
            <w:tcMar>
              <w:top w:w="15" w:type="dxa"/>
              <w:left w:w="108" w:type="dxa"/>
              <w:bottom w:w="0" w:type="dxa"/>
              <w:right w:w="108" w:type="dxa"/>
            </w:tcMar>
          </w:tcPr>
          <w:p w14:paraId="6F3B6D83" w14:textId="77777777" w:rsidR="0023496E" w:rsidRDefault="0023496E" w:rsidP="0023496E">
            <w:pPr>
              <w:pStyle w:val="Table-ActionSteps"/>
              <w:numPr>
                <w:ilvl w:val="0"/>
                <w:numId w:val="0"/>
              </w:numPr>
              <w:rPr>
                <w:rFonts w:cstheme="minorHAnsi"/>
                <w:szCs w:val="20"/>
              </w:rPr>
            </w:pPr>
            <w:r>
              <w:rPr>
                <w:rFonts w:cstheme="minorHAnsi"/>
                <w:szCs w:val="20"/>
              </w:rPr>
              <w:t>b.   T</w:t>
            </w:r>
            <w:r w:rsidR="00D33006" w:rsidRPr="00AF7018">
              <w:rPr>
                <w:rFonts w:cstheme="minorHAnsi"/>
                <w:szCs w:val="20"/>
              </w:rPr>
              <w:t>he PHAs will provide data and addresses on</w:t>
            </w:r>
          </w:p>
          <w:p w14:paraId="52993A58" w14:textId="77777777" w:rsidR="0023496E" w:rsidRDefault="0023496E" w:rsidP="0023496E">
            <w:pPr>
              <w:pStyle w:val="Table-ActionSteps"/>
              <w:numPr>
                <w:ilvl w:val="0"/>
                <w:numId w:val="0"/>
              </w:numPr>
              <w:rPr>
                <w:rFonts w:cstheme="minorHAnsi"/>
                <w:szCs w:val="20"/>
              </w:rPr>
            </w:pPr>
            <w:r>
              <w:rPr>
                <w:rFonts w:cstheme="minorHAnsi"/>
                <w:szCs w:val="20"/>
              </w:rPr>
              <w:t xml:space="preserve">     </w:t>
            </w:r>
            <w:r w:rsidR="00D33006" w:rsidRPr="00AF7018">
              <w:rPr>
                <w:rFonts w:cstheme="minorHAnsi"/>
                <w:szCs w:val="20"/>
              </w:rPr>
              <w:t xml:space="preserve"> </w:t>
            </w:r>
            <w:r w:rsidR="00E62F43" w:rsidRPr="00AF7018">
              <w:rPr>
                <w:rFonts w:cstheme="minorHAnsi"/>
                <w:szCs w:val="20"/>
              </w:rPr>
              <w:t xml:space="preserve">their tenant-based rental assistance </w:t>
            </w:r>
            <w:r w:rsidR="00D33006" w:rsidRPr="00AF7018">
              <w:rPr>
                <w:rFonts w:cstheme="minorHAnsi"/>
                <w:szCs w:val="20"/>
              </w:rPr>
              <w:t>to DPH on</w:t>
            </w:r>
          </w:p>
          <w:p w14:paraId="34D67B7A" w14:textId="5304FB30" w:rsidR="0070237B" w:rsidRPr="00AF7018" w:rsidRDefault="0023496E" w:rsidP="0023496E">
            <w:pPr>
              <w:pStyle w:val="Table-ActionSteps"/>
              <w:numPr>
                <w:ilvl w:val="0"/>
                <w:numId w:val="0"/>
              </w:numPr>
              <w:rPr>
                <w:rFonts w:cstheme="minorHAnsi"/>
                <w:szCs w:val="20"/>
                <w:highlight w:val="yellow"/>
              </w:rPr>
            </w:pPr>
            <w:r>
              <w:rPr>
                <w:rFonts w:cstheme="minorHAnsi"/>
                <w:szCs w:val="20"/>
              </w:rPr>
              <w:t xml:space="preserve">  </w:t>
            </w:r>
            <w:r w:rsidR="00D33006" w:rsidRPr="00AF7018">
              <w:rPr>
                <w:rFonts w:cstheme="minorHAnsi"/>
                <w:szCs w:val="20"/>
              </w:rPr>
              <w:t xml:space="preserve"> </w:t>
            </w:r>
            <w:r>
              <w:rPr>
                <w:rFonts w:cstheme="minorHAnsi"/>
                <w:szCs w:val="20"/>
              </w:rPr>
              <w:t xml:space="preserve">   </w:t>
            </w:r>
            <w:r w:rsidR="00D33006" w:rsidRPr="00AF7018">
              <w:rPr>
                <w:rFonts w:cstheme="minorHAnsi"/>
                <w:szCs w:val="20"/>
              </w:rPr>
              <w:t>a quarterly basis</w:t>
            </w:r>
          </w:p>
        </w:tc>
        <w:tc>
          <w:tcPr>
            <w:tcW w:w="1033"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36973781" w14:textId="77777777" w:rsidR="00523EB7" w:rsidRPr="00AF7018" w:rsidRDefault="00523EB7" w:rsidP="00C201AB">
            <w:pPr>
              <w:pStyle w:val="Table-Progress"/>
              <w:rPr>
                <w:rFonts w:cstheme="minorHAnsi"/>
                <w:szCs w:val="20"/>
              </w:rPr>
            </w:pPr>
          </w:p>
        </w:tc>
        <w:tc>
          <w:tcPr>
            <w:tcW w:w="131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344641C6" w14:textId="25990815" w:rsidR="008D61BB" w:rsidRDefault="00976C27" w:rsidP="0070237B">
            <w:pPr>
              <w:pStyle w:val="Table-Progress"/>
              <w:jc w:val="left"/>
              <w:rPr>
                <w:rFonts w:cstheme="minorHAnsi"/>
                <w:szCs w:val="20"/>
              </w:rPr>
            </w:pPr>
            <w:r w:rsidRPr="00AF7018">
              <w:rPr>
                <w:rFonts w:cstheme="minorHAnsi"/>
                <w:szCs w:val="20"/>
              </w:rPr>
              <w:t xml:space="preserve">January 2018 </w:t>
            </w:r>
            <w:r w:rsidR="0070237B" w:rsidRPr="00AF7018">
              <w:rPr>
                <w:rFonts w:cstheme="minorHAnsi"/>
                <w:szCs w:val="20"/>
              </w:rPr>
              <w:t>D</w:t>
            </w:r>
            <w:r w:rsidRPr="00AF7018">
              <w:rPr>
                <w:rFonts w:cstheme="minorHAnsi"/>
                <w:szCs w:val="20"/>
              </w:rPr>
              <w:t xml:space="preserve">PH has received data from </w:t>
            </w:r>
            <w:r w:rsidR="008D61BB" w:rsidRPr="00AF7018">
              <w:rPr>
                <w:rFonts w:cstheme="minorHAnsi"/>
                <w:szCs w:val="20"/>
              </w:rPr>
              <w:t>7</w:t>
            </w:r>
            <w:r w:rsidRPr="00AF7018">
              <w:rPr>
                <w:rFonts w:cstheme="minorHAnsi"/>
                <w:szCs w:val="20"/>
              </w:rPr>
              <w:t xml:space="preserve"> PHAs and Housing Firms and is in the process of cleaning/sorting/matching the data. </w:t>
            </w:r>
            <w:r w:rsidR="008D61BB" w:rsidRPr="00AF7018">
              <w:rPr>
                <w:rFonts w:cstheme="minorHAnsi"/>
                <w:szCs w:val="20"/>
              </w:rPr>
              <w:t xml:space="preserve">DPH </w:t>
            </w:r>
            <w:r w:rsidR="00D5328C">
              <w:rPr>
                <w:rFonts w:cstheme="minorHAnsi"/>
                <w:szCs w:val="20"/>
              </w:rPr>
              <w:t>has also received data from DOH.</w:t>
            </w:r>
            <w:r w:rsidRPr="00AF7018">
              <w:rPr>
                <w:rFonts w:cstheme="minorHAnsi"/>
                <w:szCs w:val="20"/>
              </w:rPr>
              <w:t xml:space="preserve"> </w:t>
            </w:r>
          </w:p>
          <w:p w14:paraId="06561EF4" w14:textId="77777777" w:rsidR="008A485E" w:rsidRDefault="008A485E" w:rsidP="0070237B">
            <w:pPr>
              <w:pStyle w:val="Table-Progress"/>
              <w:jc w:val="left"/>
              <w:rPr>
                <w:rFonts w:cstheme="minorHAnsi"/>
                <w:szCs w:val="20"/>
              </w:rPr>
            </w:pPr>
          </w:p>
          <w:p w14:paraId="6748A568" w14:textId="3B3D194C" w:rsidR="008A485E" w:rsidRPr="00AF7018" w:rsidRDefault="008A485E" w:rsidP="0070237B">
            <w:pPr>
              <w:pStyle w:val="Table-Progress"/>
              <w:jc w:val="left"/>
              <w:rPr>
                <w:rFonts w:cstheme="minorHAnsi"/>
                <w:szCs w:val="20"/>
              </w:rPr>
            </w:pPr>
            <w:r>
              <w:rPr>
                <w:rFonts w:cstheme="minorHAnsi"/>
                <w:szCs w:val="20"/>
              </w:rPr>
              <w:t>April 2018 DPH has received data from 7 PHAs and Housing Firms and has cleaned/sorted/matched the data.  DPH has also received data from DOH.</w:t>
            </w:r>
          </w:p>
        </w:tc>
      </w:tr>
      <w:tr w:rsidR="00C201AB" w:rsidRPr="00AF7018" w14:paraId="66AA298E" w14:textId="77777777" w:rsidTr="00731B44">
        <w:trPr>
          <w:cantSplit/>
          <w:trHeight w:val="1221"/>
        </w:trPr>
        <w:tc>
          <w:tcPr>
            <w:tcW w:w="1155" w:type="pct"/>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04098BB4" w14:textId="77777777" w:rsidR="00C201AB" w:rsidRPr="00AF7018" w:rsidRDefault="00C201AB" w:rsidP="00C201AB">
            <w:pPr>
              <w:pStyle w:val="Table-Strategies"/>
              <w:rPr>
                <w:rFonts w:cstheme="minorHAnsi"/>
                <w:szCs w:val="20"/>
              </w:rPr>
            </w:pPr>
            <w:r w:rsidRPr="00AF7018">
              <w:rPr>
                <w:rFonts w:cstheme="minorHAnsi"/>
                <w:szCs w:val="20"/>
              </w:rPr>
              <w:t>Increase preventive lead-safe housing standards enforcement for rental and owner-occupied housing</w:t>
            </w:r>
          </w:p>
        </w:tc>
        <w:tc>
          <w:tcPr>
            <w:tcW w:w="1501" w:type="pct"/>
            <w:tcBorders>
              <w:top w:val="single" w:sz="8" w:space="0" w:color="000000" w:themeColor="text1"/>
              <w:left w:val="single" w:sz="4" w:space="0" w:color="auto"/>
              <w:right w:val="single" w:sz="8" w:space="0" w:color="000000" w:themeColor="text1"/>
            </w:tcBorders>
            <w:shd w:val="clear" w:color="auto" w:fill="auto"/>
            <w:tcMar>
              <w:top w:w="15" w:type="dxa"/>
              <w:left w:w="108" w:type="dxa"/>
              <w:bottom w:w="0" w:type="dxa"/>
              <w:right w:w="108" w:type="dxa"/>
            </w:tcMar>
            <w:vAlign w:val="center"/>
          </w:tcPr>
          <w:p w14:paraId="4CE707D1" w14:textId="1E353B18" w:rsidR="00C201AB" w:rsidRPr="00AF7018" w:rsidRDefault="00C201AB" w:rsidP="00AF7018">
            <w:pPr>
              <w:pStyle w:val="Table-ActionSteps"/>
              <w:numPr>
                <w:ilvl w:val="0"/>
                <w:numId w:val="11"/>
              </w:numPr>
              <w:rPr>
                <w:rFonts w:cstheme="minorHAnsi"/>
                <w:szCs w:val="20"/>
              </w:rPr>
            </w:pPr>
            <w:r w:rsidRPr="00AF7018">
              <w:rPr>
                <w:rFonts w:cstheme="minorHAnsi"/>
                <w:szCs w:val="20"/>
              </w:rPr>
              <w:t>Support any legislative initiative to adopt International Property Maintenance Code (IPMC) (refer to Healthy Housing SHIP objective)</w:t>
            </w:r>
          </w:p>
        </w:tc>
        <w:tc>
          <w:tcPr>
            <w:tcW w:w="1033"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4600AF0E" w14:textId="63AFB658" w:rsidR="00C201AB" w:rsidRPr="00AF7018" w:rsidRDefault="00004EF1" w:rsidP="00C201AB">
            <w:pPr>
              <w:pStyle w:val="Table-Progress"/>
              <w:rPr>
                <w:rFonts w:cstheme="minorHAnsi"/>
                <w:szCs w:val="20"/>
              </w:rPr>
            </w:pPr>
            <w:r w:rsidRPr="00AF7018">
              <w:rPr>
                <w:rFonts w:cstheme="minorHAnsi"/>
                <w:szCs w:val="20"/>
              </w:rPr>
              <w:t xml:space="preserve">DCJ, </w:t>
            </w:r>
            <w:r w:rsidR="00D3111A" w:rsidRPr="00AF7018">
              <w:rPr>
                <w:rFonts w:cstheme="minorHAnsi"/>
                <w:szCs w:val="20"/>
              </w:rPr>
              <w:t>DSS, DOH, DCF, DPH, DAS, CLS</w:t>
            </w:r>
            <w:r w:rsidR="004762FB">
              <w:rPr>
                <w:rFonts w:cstheme="minorHAnsi"/>
                <w:szCs w:val="20"/>
              </w:rPr>
              <w:t>, CEO</w:t>
            </w:r>
          </w:p>
          <w:p w14:paraId="23489403" w14:textId="77777777" w:rsidR="00C201AB" w:rsidRPr="00AF7018" w:rsidRDefault="00C201AB" w:rsidP="00C201AB">
            <w:pPr>
              <w:pStyle w:val="Table-Progress"/>
              <w:rPr>
                <w:rFonts w:cstheme="minorHAnsi"/>
                <w:szCs w:val="20"/>
              </w:rPr>
            </w:pPr>
          </w:p>
        </w:tc>
        <w:tc>
          <w:tcPr>
            <w:tcW w:w="131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32630E75" w14:textId="77777777" w:rsidR="004018A5" w:rsidRPr="00AF7018" w:rsidRDefault="004018A5" w:rsidP="00967550">
            <w:pPr>
              <w:rPr>
                <w:rFonts w:cstheme="minorHAnsi"/>
                <w:sz w:val="20"/>
                <w:szCs w:val="20"/>
              </w:rPr>
            </w:pPr>
          </w:p>
          <w:p w14:paraId="199AE75A" w14:textId="02999173" w:rsidR="0023641E" w:rsidRPr="00AF7018" w:rsidRDefault="0023641E" w:rsidP="00A16CF1">
            <w:pPr>
              <w:rPr>
                <w:rFonts w:cstheme="minorHAnsi"/>
                <w:sz w:val="20"/>
                <w:szCs w:val="20"/>
              </w:rPr>
            </w:pPr>
          </w:p>
        </w:tc>
      </w:tr>
      <w:tr w:rsidR="00C201AB" w:rsidRPr="00AF7018" w14:paraId="320E6CFE" w14:textId="77777777" w:rsidTr="00731B44">
        <w:trPr>
          <w:cantSplit/>
          <w:trHeight w:val="366"/>
        </w:trPr>
        <w:tc>
          <w:tcPr>
            <w:tcW w:w="1155" w:type="pct"/>
            <w:vMerge/>
            <w:tcBorders>
              <w:left w:val="single" w:sz="4" w:space="0" w:color="auto"/>
              <w:right w:val="single" w:sz="4" w:space="0" w:color="auto"/>
            </w:tcBorders>
            <w:shd w:val="clear" w:color="auto" w:fill="auto"/>
            <w:tcMar>
              <w:top w:w="15" w:type="dxa"/>
              <w:left w:w="108" w:type="dxa"/>
              <w:bottom w:w="0" w:type="dxa"/>
              <w:right w:w="108" w:type="dxa"/>
            </w:tcMar>
          </w:tcPr>
          <w:p w14:paraId="29091FD4" w14:textId="77777777" w:rsidR="00C201AB" w:rsidRPr="00AF7018" w:rsidRDefault="00C201AB" w:rsidP="00C201AB">
            <w:pPr>
              <w:rPr>
                <w:rFonts w:cstheme="minorHAnsi"/>
                <w:sz w:val="20"/>
                <w:szCs w:val="20"/>
              </w:rPr>
            </w:pPr>
          </w:p>
        </w:tc>
        <w:tc>
          <w:tcPr>
            <w:tcW w:w="1501"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7644B877" w14:textId="5B40E6A4" w:rsidR="00C201AB" w:rsidRPr="00AF7018" w:rsidRDefault="00C201AB" w:rsidP="0045427C">
            <w:pPr>
              <w:pStyle w:val="Table-ActionSteps"/>
              <w:numPr>
                <w:ilvl w:val="0"/>
                <w:numId w:val="11"/>
              </w:numPr>
              <w:rPr>
                <w:rFonts w:cstheme="minorHAnsi"/>
                <w:szCs w:val="20"/>
              </w:rPr>
            </w:pPr>
            <w:r w:rsidRPr="00AF7018">
              <w:rPr>
                <w:rFonts w:cstheme="minorHAnsi"/>
                <w:szCs w:val="20"/>
              </w:rPr>
              <w:t xml:space="preserve">Conduct a variety of training programs for Directors of Health in collaboration with the State's Attorney's Office for the housing court </w:t>
            </w:r>
          </w:p>
        </w:tc>
        <w:tc>
          <w:tcPr>
            <w:tcW w:w="1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45659AC7" w14:textId="452369B1" w:rsidR="00C201AB" w:rsidRPr="00AF7018" w:rsidRDefault="00C201AB" w:rsidP="00C201AB">
            <w:pPr>
              <w:pStyle w:val="Table-Progress"/>
              <w:rPr>
                <w:rFonts w:cstheme="minorHAnsi"/>
                <w:szCs w:val="20"/>
              </w:rPr>
            </w:pPr>
            <w:r w:rsidRPr="00AF7018">
              <w:rPr>
                <w:rFonts w:cstheme="minorHAnsi"/>
                <w:szCs w:val="20"/>
              </w:rPr>
              <w:t>LHD,</w:t>
            </w:r>
            <w:r w:rsidR="00D3111A" w:rsidRPr="00AF7018">
              <w:rPr>
                <w:rFonts w:cstheme="minorHAnsi"/>
                <w:szCs w:val="20"/>
              </w:rPr>
              <w:t xml:space="preserve"> CADH, CEHA, DPH, DCJ, CAMA, CLS</w:t>
            </w:r>
          </w:p>
        </w:tc>
        <w:tc>
          <w:tcPr>
            <w:tcW w:w="13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65EF8D59" w14:textId="2EDAF349" w:rsidR="00C201AB" w:rsidRPr="00AF7018" w:rsidRDefault="008A485E" w:rsidP="008A485E">
            <w:pPr>
              <w:pStyle w:val="Subtitle"/>
              <w:jc w:val="left"/>
              <w:rPr>
                <w:rFonts w:asciiTheme="minorHAnsi" w:hAnsiTheme="minorHAnsi" w:cstheme="minorHAnsi"/>
                <w:sz w:val="20"/>
                <w:szCs w:val="20"/>
              </w:rPr>
            </w:pPr>
            <w:r>
              <w:rPr>
                <w:rFonts w:asciiTheme="minorHAnsi" w:hAnsiTheme="minorHAnsi" w:cstheme="minorHAnsi"/>
                <w:b w:val="0"/>
                <w:sz w:val="20"/>
                <w:szCs w:val="20"/>
                <w:u w:val="none"/>
              </w:rPr>
              <w:t>3/12/18</w:t>
            </w:r>
            <w:r w:rsidR="00ED78EA" w:rsidRPr="00AF7018">
              <w:rPr>
                <w:rFonts w:asciiTheme="minorHAnsi" w:hAnsiTheme="minorHAnsi" w:cstheme="minorHAnsi"/>
                <w:b w:val="0"/>
                <w:sz w:val="20"/>
                <w:szCs w:val="20"/>
                <w:u w:val="none"/>
              </w:rPr>
              <w:t xml:space="preserve"> DPH held a Semi-Annual Meeting.  Presentations included an overview of the DPH Healthy Homes Surveillance Report and the Healthy Homes Strategic Plan, an overview of Occupational and Safety Health Administration laws relating to lead poisoning and worker exposure and an overview of the Mother to Baby Program designed to protect pregnant women or women of child bearing age from environmental toxins such as lead.  There were 76 people in attendance.</w:t>
            </w:r>
          </w:p>
        </w:tc>
      </w:tr>
      <w:tr w:rsidR="00C201AB" w:rsidRPr="00AF7018" w14:paraId="4584DB3B" w14:textId="77777777" w:rsidTr="00731B44">
        <w:trPr>
          <w:cantSplit/>
          <w:trHeight w:val="366"/>
        </w:trPr>
        <w:tc>
          <w:tcPr>
            <w:tcW w:w="1155" w:type="pct"/>
            <w:vMerge/>
            <w:tcBorders>
              <w:left w:val="single" w:sz="4" w:space="0" w:color="auto"/>
              <w:right w:val="single" w:sz="4" w:space="0" w:color="auto"/>
            </w:tcBorders>
            <w:shd w:val="clear" w:color="auto" w:fill="auto"/>
            <w:tcMar>
              <w:top w:w="15" w:type="dxa"/>
              <w:left w:w="108" w:type="dxa"/>
              <w:bottom w:w="0" w:type="dxa"/>
              <w:right w:w="108" w:type="dxa"/>
            </w:tcMar>
          </w:tcPr>
          <w:p w14:paraId="6E78280F" w14:textId="5B208CF7" w:rsidR="00C201AB" w:rsidRPr="00AF7018" w:rsidRDefault="00C201AB" w:rsidP="00C201AB">
            <w:pPr>
              <w:rPr>
                <w:rFonts w:cstheme="minorHAnsi"/>
                <w:b/>
                <w:sz w:val="20"/>
                <w:szCs w:val="20"/>
              </w:rPr>
            </w:pPr>
          </w:p>
        </w:tc>
        <w:tc>
          <w:tcPr>
            <w:tcW w:w="1501"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7A17A3CC" w14:textId="0232FA9F" w:rsidR="00C201AB" w:rsidRPr="00AF7018" w:rsidRDefault="00C201AB" w:rsidP="00AF7018">
            <w:pPr>
              <w:pStyle w:val="Table-ActionSteps"/>
              <w:rPr>
                <w:rFonts w:cstheme="minorHAnsi"/>
                <w:szCs w:val="20"/>
              </w:rPr>
            </w:pPr>
            <w:r w:rsidRPr="00AF7018">
              <w:rPr>
                <w:rFonts w:cstheme="minorHAnsi"/>
                <w:szCs w:val="20"/>
              </w:rPr>
              <w:t xml:space="preserve">Explore how to promote lead-safe housing through renter's insurance incentives and requirements </w:t>
            </w:r>
          </w:p>
        </w:tc>
        <w:tc>
          <w:tcPr>
            <w:tcW w:w="1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09778B5A" w14:textId="1EC6D964" w:rsidR="00B82D65" w:rsidRPr="00AF7018" w:rsidRDefault="00B82D65" w:rsidP="00B82D65">
            <w:pPr>
              <w:pStyle w:val="Table-Progress"/>
              <w:rPr>
                <w:rFonts w:cstheme="minorHAnsi"/>
                <w:szCs w:val="20"/>
              </w:rPr>
            </w:pPr>
            <w:r w:rsidRPr="00AF7018">
              <w:rPr>
                <w:rFonts w:cstheme="minorHAnsi"/>
                <w:szCs w:val="20"/>
              </w:rPr>
              <w:t>DPH, CT Insurance Department</w:t>
            </w:r>
            <w:r w:rsidR="0045427C" w:rsidRPr="00AF7018">
              <w:rPr>
                <w:rFonts w:cstheme="minorHAnsi"/>
                <w:szCs w:val="20"/>
              </w:rPr>
              <w:t>,</w:t>
            </w:r>
          </w:p>
          <w:p w14:paraId="5E36F71E" w14:textId="66F34B79" w:rsidR="00C201AB" w:rsidRPr="00AF7018" w:rsidRDefault="00B82D65" w:rsidP="00B82D65">
            <w:pPr>
              <w:pStyle w:val="Table-Progress"/>
              <w:rPr>
                <w:rFonts w:cstheme="minorHAnsi"/>
                <w:szCs w:val="20"/>
              </w:rPr>
            </w:pPr>
            <w:r w:rsidRPr="00AF7018">
              <w:rPr>
                <w:rFonts w:cstheme="minorHAnsi"/>
                <w:szCs w:val="20"/>
              </w:rPr>
              <w:t>Property Owners Associations, General Assembly, consultants, training providers, Legal</w:t>
            </w:r>
            <w:r w:rsidR="004762FB">
              <w:rPr>
                <w:rFonts w:cstheme="minorHAnsi"/>
                <w:szCs w:val="20"/>
              </w:rPr>
              <w:t>, CONN NAHRO</w:t>
            </w:r>
          </w:p>
        </w:tc>
        <w:tc>
          <w:tcPr>
            <w:tcW w:w="13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200421D" w14:textId="77777777" w:rsidR="00C201AB" w:rsidRDefault="0070237B" w:rsidP="009C6E38">
            <w:pPr>
              <w:pStyle w:val="Table-Progress"/>
              <w:jc w:val="left"/>
              <w:rPr>
                <w:rFonts w:cstheme="minorHAnsi"/>
                <w:szCs w:val="20"/>
              </w:rPr>
            </w:pPr>
            <w:r w:rsidRPr="00AF7018">
              <w:rPr>
                <w:rFonts w:cstheme="minorHAnsi"/>
                <w:szCs w:val="20"/>
              </w:rPr>
              <w:t xml:space="preserve">3/1/18 DPH Lead Program met with CT Department of Insurance.  DPH Lead Program will work with CT Department of Insurance to identify groups to educate on lead related laws (homeowners insurance brokers).  </w:t>
            </w:r>
          </w:p>
          <w:p w14:paraId="4EF533A4" w14:textId="77777777" w:rsidR="008A485E" w:rsidRDefault="008A485E" w:rsidP="009C6E38">
            <w:pPr>
              <w:pStyle w:val="Table-Progress"/>
              <w:jc w:val="left"/>
              <w:rPr>
                <w:rFonts w:cstheme="minorHAnsi"/>
                <w:szCs w:val="20"/>
              </w:rPr>
            </w:pPr>
          </w:p>
          <w:p w14:paraId="5A4288BF" w14:textId="2076173A" w:rsidR="008A485E" w:rsidRPr="00AF7018" w:rsidRDefault="008A485E" w:rsidP="009C6E38">
            <w:pPr>
              <w:pStyle w:val="Table-Progress"/>
              <w:jc w:val="left"/>
              <w:rPr>
                <w:rFonts w:cstheme="minorHAnsi"/>
                <w:szCs w:val="20"/>
              </w:rPr>
            </w:pPr>
            <w:r>
              <w:rPr>
                <w:rFonts w:cstheme="minorHAnsi"/>
                <w:szCs w:val="20"/>
              </w:rPr>
              <w:t>6/25/18 DPH Lead Program emailed CT Department of Insurance asking for an update on the status of coordinating a training on lead related laws through the two lar</w:t>
            </w:r>
            <w:r w:rsidR="00D5328C">
              <w:rPr>
                <w:rFonts w:cstheme="minorHAnsi"/>
                <w:szCs w:val="20"/>
              </w:rPr>
              <w:t>ge homeowners insurance brokers</w:t>
            </w:r>
            <w:r>
              <w:rPr>
                <w:rFonts w:cstheme="minorHAnsi"/>
                <w:szCs w:val="20"/>
              </w:rPr>
              <w:t xml:space="preserve">  </w:t>
            </w:r>
          </w:p>
        </w:tc>
      </w:tr>
      <w:tr w:rsidR="00C201AB" w:rsidRPr="00AF7018" w14:paraId="18BEF032" w14:textId="77777777" w:rsidTr="00731B44">
        <w:trPr>
          <w:cantSplit/>
          <w:trHeight w:val="366"/>
        </w:trPr>
        <w:tc>
          <w:tcPr>
            <w:tcW w:w="1155" w:type="pct"/>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641E9D0A" w14:textId="77777777" w:rsidR="00C201AB" w:rsidRPr="00AF7018" w:rsidRDefault="00C201AB" w:rsidP="00C201AB">
            <w:pPr>
              <w:pStyle w:val="Table-Strategies"/>
              <w:rPr>
                <w:rFonts w:cstheme="minorHAnsi"/>
                <w:szCs w:val="20"/>
              </w:rPr>
            </w:pPr>
            <w:r w:rsidRPr="00AF7018">
              <w:rPr>
                <w:rFonts w:cstheme="minorHAnsi"/>
                <w:szCs w:val="20"/>
              </w:rPr>
              <w:t>Educate families, service providers, advocates, and public officials on sources of lead in homes and other child-occupied facilities, so that lead hazards are eliminated before children are exposed.</w:t>
            </w:r>
          </w:p>
        </w:tc>
        <w:tc>
          <w:tcPr>
            <w:tcW w:w="1501"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057B6CAA" w14:textId="7E5FB847" w:rsidR="00C201AB" w:rsidRPr="00AF7018" w:rsidRDefault="00C201AB" w:rsidP="0059714A">
            <w:pPr>
              <w:pStyle w:val="Table-ActionSteps"/>
              <w:numPr>
                <w:ilvl w:val="0"/>
                <w:numId w:val="5"/>
              </w:numPr>
              <w:rPr>
                <w:rFonts w:cstheme="minorHAnsi"/>
                <w:szCs w:val="20"/>
              </w:rPr>
            </w:pPr>
            <w:r w:rsidRPr="00AF7018">
              <w:rPr>
                <w:rFonts w:cstheme="minorHAnsi"/>
                <w:szCs w:val="20"/>
              </w:rPr>
              <w:t xml:space="preserve">DPH WIC </w:t>
            </w:r>
            <w:r w:rsidR="008D61BB" w:rsidRPr="00AF7018">
              <w:rPr>
                <w:rFonts w:cstheme="minorHAnsi"/>
                <w:szCs w:val="20"/>
              </w:rPr>
              <w:t>P</w:t>
            </w:r>
            <w:r w:rsidRPr="00AF7018">
              <w:rPr>
                <w:rFonts w:cstheme="minorHAnsi"/>
                <w:szCs w:val="20"/>
              </w:rPr>
              <w:t>rogram will provide education to parents on reducing the risk of lead absorption</w:t>
            </w:r>
          </w:p>
          <w:p w14:paraId="6B047C0A" w14:textId="3203B374" w:rsidR="00C201AB" w:rsidRPr="00AF7018" w:rsidRDefault="00C201AB" w:rsidP="008D61BB">
            <w:pPr>
              <w:pStyle w:val="Table-ActionStepsTiming"/>
              <w:rPr>
                <w:rFonts w:cstheme="minorHAnsi"/>
                <w:szCs w:val="20"/>
              </w:rPr>
            </w:pPr>
          </w:p>
        </w:tc>
        <w:tc>
          <w:tcPr>
            <w:tcW w:w="1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6177403" w14:textId="77777777" w:rsidR="00C201AB" w:rsidRPr="00AF7018" w:rsidRDefault="00C201AB" w:rsidP="00C201AB">
            <w:pPr>
              <w:pStyle w:val="Table-Progress"/>
              <w:rPr>
                <w:rFonts w:cstheme="minorHAnsi"/>
                <w:szCs w:val="20"/>
              </w:rPr>
            </w:pPr>
            <w:r w:rsidRPr="00AF7018">
              <w:rPr>
                <w:rFonts w:cstheme="minorHAnsi"/>
                <w:szCs w:val="20"/>
              </w:rPr>
              <w:t>WIC, DPH Lead Program, LHDs</w:t>
            </w:r>
          </w:p>
        </w:tc>
        <w:tc>
          <w:tcPr>
            <w:tcW w:w="13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14A6905E" w14:textId="0F34801B" w:rsidR="00C201AB" w:rsidRPr="00AF7018" w:rsidRDefault="008D61BB" w:rsidP="00451867">
            <w:pPr>
              <w:rPr>
                <w:rFonts w:cstheme="minorHAnsi"/>
                <w:sz w:val="20"/>
                <w:szCs w:val="20"/>
              </w:rPr>
            </w:pPr>
            <w:r w:rsidRPr="00AF7018">
              <w:rPr>
                <w:rFonts w:cstheme="minorHAnsi"/>
                <w:sz w:val="20"/>
                <w:szCs w:val="20"/>
              </w:rPr>
              <w:t>1/23/18 DPH Lead Program did a presentation to WIC Program staff in the gre</w:t>
            </w:r>
            <w:r w:rsidR="00D5328C">
              <w:rPr>
                <w:rFonts w:cstheme="minorHAnsi"/>
                <w:sz w:val="20"/>
                <w:szCs w:val="20"/>
              </w:rPr>
              <w:t>ater Norwich area on Lead 101</w:t>
            </w:r>
          </w:p>
          <w:p w14:paraId="54FD2876" w14:textId="77777777" w:rsidR="0045427C" w:rsidRPr="00AF7018" w:rsidRDefault="0045427C" w:rsidP="00451867">
            <w:pPr>
              <w:rPr>
                <w:rFonts w:cstheme="minorHAnsi"/>
                <w:sz w:val="20"/>
                <w:szCs w:val="20"/>
              </w:rPr>
            </w:pPr>
          </w:p>
          <w:p w14:paraId="27C3AC8A" w14:textId="6ABDC2E1" w:rsidR="0045427C" w:rsidRPr="00AF7018" w:rsidRDefault="0045427C" w:rsidP="00451867">
            <w:pPr>
              <w:rPr>
                <w:rFonts w:cstheme="minorHAnsi"/>
                <w:sz w:val="20"/>
                <w:szCs w:val="20"/>
              </w:rPr>
            </w:pPr>
            <w:r w:rsidRPr="00AF7018">
              <w:rPr>
                <w:rFonts w:cstheme="minorHAnsi"/>
                <w:sz w:val="20"/>
                <w:szCs w:val="20"/>
              </w:rPr>
              <w:t xml:space="preserve">3/27/18 Email sent to DPH WIC Program with information on new fact sheets on the DPH website.  DPH WIC Program will provide this </w:t>
            </w:r>
            <w:r w:rsidR="008A485E">
              <w:rPr>
                <w:rFonts w:cstheme="minorHAnsi"/>
                <w:sz w:val="20"/>
                <w:szCs w:val="20"/>
              </w:rPr>
              <w:t>information to their providers</w:t>
            </w:r>
          </w:p>
        </w:tc>
      </w:tr>
      <w:tr w:rsidR="0059714A" w:rsidRPr="00AF7018" w14:paraId="3E2CE91D" w14:textId="77777777" w:rsidTr="00286C5C">
        <w:trPr>
          <w:cantSplit/>
          <w:trHeight w:val="1378"/>
        </w:trPr>
        <w:tc>
          <w:tcPr>
            <w:tcW w:w="1155" w:type="pct"/>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70115B45" w14:textId="77777777" w:rsidR="0059714A" w:rsidRPr="00AF7018" w:rsidRDefault="0059714A" w:rsidP="00C201AB">
            <w:pPr>
              <w:pStyle w:val="Table-Strategies"/>
              <w:rPr>
                <w:rFonts w:cstheme="minorHAnsi"/>
                <w:szCs w:val="20"/>
              </w:rPr>
            </w:pPr>
          </w:p>
        </w:tc>
        <w:tc>
          <w:tcPr>
            <w:tcW w:w="1501" w:type="pct"/>
            <w:tcBorders>
              <w:top w:val="single" w:sz="8" w:space="0" w:color="000000" w:themeColor="text1"/>
              <w:left w:val="single" w:sz="4" w:space="0" w:color="auto"/>
              <w:right w:val="single" w:sz="8" w:space="0" w:color="000000" w:themeColor="text1"/>
            </w:tcBorders>
            <w:shd w:val="clear" w:color="auto" w:fill="auto"/>
            <w:tcMar>
              <w:top w:w="15" w:type="dxa"/>
              <w:left w:w="108" w:type="dxa"/>
              <w:bottom w:w="0" w:type="dxa"/>
              <w:right w:w="108" w:type="dxa"/>
            </w:tcMar>
          </w:tcPr>
          <w:p w14:paraId="661271B8" w14:textId="77777777" w:rsidR="0098658C" w:rsidRPr="00AF7018" w:rsidRDefault="0059714A" w:rsidP="0059714A">
            <w:pPr>
              <w:pStyle w:val="Table-ActionSteps"/>
              <w:numPr>
                <w:ilvl w:val="0"/>
                <w:numId w:val="5"/>
              </w:numPr>
              <w:rPr>
                <w:rFonts w:cstheme="minorHAnsi"/>
                <w:szCs w:val="20"/>
              </w:rPr>
            </w:pPr>
            <w:r w:rsidRPr="00AF7018">
              <w:rPr>
                <w:rFonts w:cstheme="minorHAnsi"/>
                <w:szCs w:val="20"/>
              </w:rPr>
              <w:t xml:space="preserve">Share with constituents lead poisoning prevention 2017 media campaign and evaluation that targets Hispanic and Black children and families </w:t>
            </w:r>
          </w:p>
          <w:p w14:paraId="64E74D3E" w14:textId="53082AB4" w:rsidR="0059714A" w:rsidRPr="00AF7018" w:rsidRDefault="0059714A" w:rsidP="008D61BB">
            <w:pPr>
              <w:pStyle w:val="Table-ActionSteps"/>
              <w:numPr>
                <w:ilvl w:val="0"/>
                <w:numId w:val="0"/>
              </w:numPr>
              <w:ind w:left="360"/>
              <w:rPr>
                <w:rFonts w:cstheme="minorHAnsi"/>
                <w:szCs w:val="20"/>
              </w:rPr>
            </w:pPr>
          </w:p>
        </w:tc>
        <w:tc>
          <w:tcPr>
            <w:tcW w:w="1033"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188B2203" w14:textId="77777777" w:rsidR="0059714A" w:rsidRPr="00AF7018" w:rsidRDefault="0059714A" w:rsidP="00C201AB">
            <w:pPr>
              <w:pStyle w:val="Table-Progress"/>
              <w:rPr>
                <w:rFonts w:cstheme="minorHAnsi"/>
                <w:szCs w:val="20"/>
              </w:rPr>
            </w:pPr>
            <w:r w:rsidRPr="00AF7018">
              <w:rPr>
                <w:rFonts w:cstheme="minorHAnsi"/>
                <w:szCs w:val="20"/>
              </w:rPr>
              <w:t>All Action Team members, Advisory Council, and all lead poisoning prevention partners</w:t>
            </w:r>
          </w:p>
        </w:tc>
        <w:tc>
          <w:tcPr>
            <w:tcW w:w="131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2CA48271" w14:textId="3B19E046" w:rsidR="00286C5C" w:rsidRPr="00AF7018" w:rsidRDefault="008A485E" w:rsidP="00C201AB">
            <w:pPr>
              <w:rPr>
                <w:rFonts w:cstheme="minorHAnsi"/>
                <w:sz w:val="20"/>
                <w:szCs w:val="20"/>
              </w:rPr>
            </w:pPr>
            <w:r>
              <w:rPr>
                <w:rFonts w:cstheme="minorHAnsi"/>
                <w:sz w:val="20"/>
                <w:szCs w:val="20"/>
              </w:rPr>
              <w:t>4/13/18 DPH Lead Program have an overview to all meeting participants on t</w:t>
            </w:r>
            <w:r w:rsidR="00D5328C">
              <w:rPr>
                <w:rFonts w:cstheme="minorHAnsi"/>
                <w:sz w:val="20"/>
                <w:szCs w:val="20"/>
              </w:rPr>
              <w:t>he lead media campaign</w:t>
            </w:r>
          </w:p>
        </w:tc>
      </w:tr>
      <w:tr w:rsidR="00C201AB" w:rsidRPr="00AF7018" w14:paraId="7288B6CE" w14:textId="77777777" w:rsidTr="00731B44">
        <w:trPr>
          <w:cantSplit/>
          <w:trHeight w:val="1270"/>
        </w:trPr>
        <w:tc>
          <w:tcPr>
            <w:tcW w:w="1155" w:type="pct"/>
            <w:vMerge/>
            <w:tcBorders>
              <w:left w:val="single" w:sz="4" w:space="0" w:color="auto"/>
              <w:right w:val="single" w:sz="4" w:space="0" w:color="auto"/>
            </w:tcBorders>
            <w:shd w:val="clear" w:color="auto" w:fill="auto"/>
            <w:tcMar>
              <w:top w:w="15" w:type="dxa"/>
              <w:left w:w="108" w:type="dxa"/>
              <w:bottom w:w="0" w:type="dxa"/>
              <w:right w:w="108" w:type="dxa"/>
            </w:tcMar>
          </w:tcPr>
          <w:p w14:paraId="5E26DB42" w14:textId="3870F5BE" w:rsidR="00C201AB" w:rsidRPr="00AF7018" w:rsidRDefault="00C201AB" w:rsidP="00C201AB">
            <w:pPr>
              <w:rPr>
                <w:rFonts w:cstheme="minorHAnsi"/>
                <w:b/>
                <w:sz w:val="20"/>
                <w:szCs w:val="20"/>
              </w:rPr>
            </w:pPr>
          </w:p>
        </w:tc>
        <w:tc>
          <w:tcPr>
            <w:tcW w:w="1501" w:type="pct"/>
            <w:tcBorders>
              <w:top w:val="single" w:sz="8" w:space="0" w:color="000000" w:themeColor="text1"/>
              <w:left w:val="single" w:sz="4" w:space="0" w:color="auto"/>
              <w:right w:val="single" w:sz="8" w:space="0" w:color="000000" w:themeColor="text1"/>
            </w:tcBorders>
            <w:shd w:val="clear" w:color="auto" w:fill="auto"/>
            <w:tcMar>
              <w:top w:w="15" w:type="dxa"/>
              <w:left w:w="108" w:type="dxa"/>
              <w:bottom w:w="0" w:type="dxa"/>
              <w:right w:w="108" w:type="dxa"/>
            </w:tcMar>
          </w:tcPr>
          <w:p w14:paraId="5531CE23" w14:textId="3C42A215" w:rsidR="00C201AB" w:rsidRPr="00AF7018" w:rsidRDefault="00C201AB" w:rsidP="008D61BB">
            <w:pPr>
              <w:pStyle w:val="Table-ActionSteps"/>
              <w:rPr>
                <w:rFonts w:cstheme="minorHAnsi"/>
                <w:szCs w:val="20"/>
              </w:rPr>
            </w:pPr>
            <w:r w:rsidRPr="00AF7018">
              <w:rPr>
                <w:rFonts w:cstheme="minorHAnsi"/>
                <w:szCs w:val="20"/>
              </w:rPr>
              <w:t xml:space="preserve">Provide each state legislator with a simple lead information resource that they can easily reference if constituents ask them </w:t>
            </w:r>
            <w:r w:rsidR="008D61BB" w:rsidRPr="00AF7018">
              <w:rPr>
                <w:rFonts w:cstheme="minorHAnsi"/>
                <w:szCs w:val="20"/>
              </w:rPr>
              <w:t xml:space="preserve">              </w:t>
            </w:r>
            <w:r w:rsidRPr="00AF7018">
              <w:rPr>
                <w:rFonts w:cstheme="minorHAnsi"/>
                <w:szCs w:val="20"/>
              </w:rPr>
              <w:t>lead-related questions</w:t>
            </w:r>
          </w:p>
        </w:tc>
        <w:tc>
          <w:tcPr>
            <w:tcW w:w="1033"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72BE0135" w14:textId="43032466" w:rsidR="00C201AB" w:rsidRPr="00AF7018" w:rsidRDefault="00C201AB" w:rsidP="00C201AB">
            <w:pPr>
              <w:pStyle w:val="Table-Progress"/>
              <w:rPr>
                <w:rFonts w:cstheme="minorHAnsi"/>
                <w:szCs w:val="20"/>
              </w:rPr>
            </w:pPr>
            <w:r w:rsidRPr="00AF7018">
              <w:rPr>
                <w:rFonts w:cstheme="minorHAnsi"/>
                <w:szCs w:val="20"/>
              </w:rPr>
              <w:t> DPH, Commission on Children</w:t>
            </w:r>
            <w:r w:rsidR="00D3111A" w:rsidRPr="00AF7018">
              <w:rPr>
                <w:rFonts w:cstheme="minorHAnsi"/>
                <w:szCs w:val="20"/>
              </w:rPr>
              <w:t>, CLS</w:t>
            </w:r>
            <w:r w:rsidR="005E68D2">
              <w:rPr>
                <w:rFonts w:cstheme="minorHAnsi"/>
                <w:szCs w:val="20"/>
              </w:rPr>
              <w:t>, CONN NAHRO</w:t>
            </w:r>
            <w:r w:rsidR="00C25575">
              <w:rPr>
                <w:rFonts w:cstheme="minorHAnsi"/>
                <w:szCs w:val="20"/>
              </w:rPr>
              <w:t>, Yale RLTC</w:t>
            </w:r>
          </w:p>
          <w:p w14:paraId="7E414F0D" w14:textId="77777777" w:rsidR="00C201AB" w:rsidRPr="00AF7018" w:rsidRDefault="00C201AB" w:rsidP="00C201AB">
            <w:pPr>
              <w:pStyle w:val="Table-Progress"/>
              <w:rPr>
                <w:rFonts w:cstheme="minorHAnsi"/>
                <w:szCs w:val="20"/>
              </w:rPr>
            </w:pPr>
          </w:p>
        </w:tc>
        <w:tc>
          <w:tcPr>
            <w:tcW w:w="131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2A82AF38" w14:textId="6363FA37" w:rsidR="00C201AB" w:rsidRPr="00AF7018" w:rsidRDefault="00C201AB" w:rsidP="00340AA4">
            <w:pPr>
              <w:rPr>
                <w:rFonts w:cstheme="minorHAnsi"/>
                <w:sz w:val="20"/>
                <w:szCs w:val="20"/>
              </w:rPr>
            </w:pPr>
          </w:p>
        </w:tc>
      </w:tr>
      <w:tr w:rsidR="00C201AB" w:rsidRPr="00AF7018" w14:paraId="7A053B26" w14:textId="77777777" w:rsidTr="00731B44">
        <w:trPr>
          <w:cantSplit/>
          <w:trHeight w:val="1063"/>
        </w:trPr>
        <w:tc>
          <w:tcPr>
            <w:tcW w:w="1155" w:type="pct"/>
            <w:tcBorders>
              <w:left w:val="single" w:sz="4" w:space="0" w:color="auto"/>
              <w:right w:val="single" w:sz="4" w:space="0" w:color="auto"/>
            </w:tcBorders>
            <w:shd w:val="clear" w:color="auto" w:fill="auto"/>
            <w:tcMar>
              <w:top w:w="15" w:type="dxa"/>
              <w:left w:w="108" w:type="dxa"/>
              <w:bottom w:w="0" w:type="dxa"/>
              <w:right w:w="108" w:type="dxa"/>
            </w:tcMar>
          </w:tcPr>
          <w:p w14:paraId="01D9F746" w14:textId="77777777" w:rsidR="00C201AB" w:rsidRPr="00AF7018" w:rsidRDefault="00C201AB" w:rsidP="00C201AB">
            <w:pPr>
              <w:rPr>
                <w:rFonts w:cstheme="minorHAnsi"/>
                <w:b/>
                <w:sz w:val="20"/>
                <w:szCs w:val="20"/>
              </w:rPr>
            </w:pPr>
          </w:p>
        </w:tc>
        <w:tc>
          <w:tcPr>
            <w:tcW w:w="1501" w:type="pct"/>
            <w:tcBorders>
              <w:top w:val="single" w:sz="8" w:space="0" w:color="000000" w:themeColor="text1"/>
              <w:left w:val="single" w:sz="4" w:space="0" w:color="auto"/>
              <w:right w:val="single" w:sz="8" w:space="0" w:color="000000" w:themeColor="text1"/>
            </w:tcBorders>
            <w:shd w:val="clear" w:color="auto" w:fill="auto"/>
            <w:tcMar>
              <w:top w:w="15" w:type="dxa"/>
              <w:left w:w="108" w:type="dxa"/>
              <w:bottom w:w="0" w:type="dxa"/>
              <w:right w:w="108" w:type="dxa"/>
            </w:tcMar>
          </w:tcPr>
          <w:p w14:paraId="21EFE46A" w14:textId="78C5599C" w:rsidR="0059714A" w:rsidRPr="00AF7018" w:rsidRDefault="00C201AB" w:rsidP="00AF7018">
            <w:pPr>
              <w:pStyle w:val="Table-ActionSteps"/>
              <w:rPr>
                <w:rFonts w:cstheme="minorHAnsi"/>
                <w:szCs w:val="20"/>
              </w:rPr>
            </w:pPr>
            <w:r w:rsidRPr="00AF7018">
              <w:rPr>
                <w:rFonts w:cstheme="minorHAnsi"/>
                <w:szCs w:val="20"/>
              </w:rPr>
              <w:t xml:space="preserve">Encourage partners and agencies to provide families with the information needed to protect their children from </w:t>
            </w:r>
            <w:r w:rsidR="00C63B22" w:rsidRPr="00AF7018">
              <w:rPr>
                <w:rFonts w:cstheme="minorHAnsi"/>
                <w:szCs w:val="20"/>
              </w:rPr>
              <w:t>potential lead hazards in homes</w:t>
            </w:r>
          </w:p>
        </w:tc>
        <w:tc>
          <w:tcPr>
            <w:tcW w:w="1033"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0B1A81E4" w14:textId="6A982DAD" w:rsidR="00C201AB" w:rsidRPr="00AF7018" w:rsidRDefault="00EF4B86" w:rsidP="00C201AB">
            <w:pPr>
              <w:pStyle w:val="Table-Progress"/>
              <w:rPr>
                <w:rFonts w:cstheme="minorHAnsi"/>
                <w:szCs w:val="20"/>
              </w:rPr>
            </w:pPr>
            <w:r w:rsidRPr="00AF7018">
              <w:rPr>
                <w:rFonts w:cstheme="minorHAnsi"/>
                <w:szCs w:val="20"/>
              </w:rPr>
              <w:t>DPH, LHDs, CADH</w:t>
            </w:r>
            <w:r w:rsidR="00C25575">
              <w:rPr>
                <w:rFonts w:cstheme="minorHAnsi"/>
                <w:szCs w:val="20"/>
              </w:rPr>
              <w:t>, CONN NAHRO, Eversource, The Connection</w:t>
            </w:r>
          </w:p>
        </w:tc>
        <w:tc>
          <w:tcPr>
            <w:tcW w:w="131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12F5C7F8" w14:textId="77777777" w:rsidR="00C201AB" w:rsidRPr="00AF7018" w:rsidRDefault="00C201AB" w:rsidP="00C201AB">
            <w:pPr>
              <w:pStyle w:val="Table-Progress"/>
              <w:jc w:val="left"/>
              <w:rPr>
                <w:rFonts w:cstheme="minorHAnsi"/>
                <w:b/>
                <w:bCs/>
                <w:szCs w:val="20"/>
              </w:rPr>
            </w:pPr>
          </w:p>
        </w:tc>
      </w:tr>
      <w:tr w:rsidR="00C201AB" w:rsidRPr="00AF7018" w14:paraId="6AC8DE79" w14:textId="77777777" w:rsidTr="00731B44">
        <w:trPr>
          <w:cantSplit/>
          <w:trHeight w:val="366"/>
        </w:trPr>
        <w:tc>
          <w:tcPr>
            <w:tcW w:w="1155" w:type="pct"/>
            <w:vMerge w:val="restart"/>
            <w:tcBorders>
              <w:left w:val="single" w:sz="4" w:space="0" w:color="auto"/>
              <w:right w:val="single" w:sz="4" w:space="0" w:color="auto"/>
            </w:tcBorders>
            <w:shd w:val="clear" w:color="auto" w:fill="auto"/>
            <w:tcMar>
              <w:top w:w="15" w:type="dxa"/>
              <w:left w:w="108" w:type="dxa"/>
              <w:bottom w:w="0" w:type="dxa"/>
              <w:right w:w="108" w:type="dxa"/>
            </w:tcMar>
          </w:tcPr>
          <w:p w14:paraId="013D6AE7" w14:textId="05978124" w:rsidR="00C201AB" w:rsidRPr="00AF7018" w:rsidRDefault="00C201AB" w:rsidP="00C201AB">
            <w:pPr>
              <w:pStyle w:val="Table-Strategies"/>
              <w:rPr>
                <w:rFonts w:cstheme="minorHAnsi"/>
                <w:szCs w:val="20"/>
              </w:rPr>
            </w:pPr>
          </w:p>
        </w:tc>
        <w:tc>
          <w:tcPr>
            <w:tcW w:w="1501"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77EFEDB" w14:textId="460BAA30" w:rsidR="00C201AB" w:rsidRPr="00AF7018" w:rsidRDefault="00C201AB" w:rsidP="00AF7018">
            <w:pPr>
              <w:pStyle w:val="Table-ActionSteps"/>
              <w:rPr>
                <w:rFonts w:cstheme="minorHAnsi"/>
                <w:szCs w:val="20"/>
              </w:rPr>
            </w:pPr>
            <w:r w:rsidRPr="00AF7018">
              <w:rPr>
                <w:rFonts w:cstheme="minorHAnsi"/>
                <w:szCs w:val="20"/>
              </w:rPr>
              <w:t>Promote the attachment of lead management pla</w:t>
            </w:r>
            <w:r w:rsidR="00C63B22" w:rsidRPr="00AF7018">
              <w:rPr>
                <w:rFonts w:cstheme="minorHAnsi"/>
                <w:szCs w:val="20"/>
              </w:rPr>
              <w:t>ns to property records by LHDs</w:t>
            </w:r>
          </w:p>
        </w:tc>
        <w:tc>
          <w:tcPr>
            <w:tcW w:w="1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0E03F8A2" w14:textId="2BE5F18F" w:rsidR="00C201AB" w:rsidRPr="00AF7018" w:rsidRDefault="00C201AB" w:rsidP="00C201AB">
            <w:pPr>
              <w:pStyle w:val="Table-Progress"/>
              <w:rPr>
                <w:rFonts w:cstheme="minorHAnsi"/>
                <w:szCs w:val="20"/>
              </w:rPr>
            </w:pPr>
            <w:r w:rsidRPr="00AF7018">
              <w:rPr>
                <w:rFonts w:cstheme="minorHAnsi"/>
                <w:szCs w:val="20"/>
              </w:rPr>
              <w:t>Licensed Workforce, DPH</w:t>
            </w:r>
            <w:r w:rsidR="0055264F" w:rsidRPr="00AF7018">
              <w:rPr>
                <w:rFonts w:cstheme="minorHAnsi"/>
                <w:szCs w:val="20"/>
              </w:rPr>
              <w:t>, LHDs, CADH</w:t>
            </w:r>
            <w:r w:rsidR="00D3111A" w:rsidRPr="00AF7018">
              <w:rPr>
                <w:rFonts w:cstheme="minorHAnsi"/>
                <w:szCs w:val="20"/>
              </w:rPr>
              <w:t>, CLS</w:t>
            </w:r>
          </w:p>
        </w:tc>
        <w:tc>
          <w:tcPr>
            <w:tcW w:w="13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49660B35" w14:textId="4D2D211A" w:rsidR="00690EC8" w:rsidRPr="00AF7018" w:rsidRDefault="00690EC8" w:rsidP="00690EC8">
            <w:pPr>
              <w:rPr>
                <w:rFonts w:cstheme="minorHAnsi"/>
                <w:sz w:val="20"/>
                <w:szCs w:val="20"/>
              </w:rPr>
            </w:pPr>
          </w:p>
        </w:tc>
      </w:tr>
      <w:tr w:rsidR="00C201AB" w:rsidRPr="00AF7018" w14:paraId="3680D42A" w14:textId="77777777" w:rsidTr="00731B44">
        <w:trPr>
          <w:cantSplit/>
          <w:trHeight w:val="1540"/>
        </w:trPr>
        <w:tc>
          <w:tcPr>
            <w:tcW w:w="1155" w:type="pct"/>
            <w:vMerge/>
            <w:tcBorders>
              <w:left w:val="single" w:sz="4" w:space="0" w:color="auto"/>
              <w:right w:val="single" w:sz="4" w:space="0" w:color="auto"/>
            </w:tcBorders>
            <w:shd w:val="clear" w:color="auto" w:fill="auto"/>
            <w:tcMar>
              <w:top w:w="15" w:type="dxa"/>
              <w:left w:w="108" w:type="dxa"/>
              <w:bottom w:w="0" w:type="dxa"/>
              <w:right w:w="108" w:type="dxa"/>
            </w:tcMar>
          </w:tcPr>
          <w:p w14:paraId="370BA937" w14:textId="77777777" w:rsidR="00C201AB" w:rsidRPr="00AF7018" w:rsidRDefault="00C201AB" w:rsidP="00C201AB">
            <w:pPr>
              <w:pStyle w:val="Table-Strategies"/>
              <w:rPr>
                <w:rFonts w:cstheme="minorHAnsi"/>
                <w:szCs w:val="20"/>
              </w:rPr>
            </w:pPr>
          </w:p>
        </w:tc>
        <w:tc>
          <w:tcPr>
            <w:tcW w:w="1501" w:type="pct"/>
            <w:tcBorders>
              <w:top w:val="single" w:sz="8" w:space="0" w:color="000000" w:themeColor="text1"/>
              <w:left w:val="single" w:sz="4" w:space="0" w:color="auto"/>
              <w:right w:val="single" w:sz="8" w:space="0" w:color="000000" w:themeColor="text1"/>
            </w:tcBorders>
            <w:shd w:val="clear" w:color="auto" w:fill="auto"/>
            <w:tcMar>
              <w:top w:w="15" w:type="dxa"/>
              <w:left w:w="108" w:type="dxa"/>
              <w:bottom w:w="0" w:type="dxa"/>
              <w:right w:w="108" w:type="dxa"/>
            </w:tcMar>
          </w:tcPr>
          <w:p w14:paraId="7CDEE4F6" w14:textId="066E1083" w:rsidR="00C201AB" w:rsidRPr="00AF7018" w:rsidRDefault="00C201AB" w:rsidP="001962B9">
            <w:pPr>
              <w:pStyle w:val="Table-ActionSteps"/>
              <w:rPr>
                <w:rFonts w:cstheme="minorHAnsi"/>
                <w:szCs w:val="20"/>
              </w:rPr>
            </w:pPr>
            <w:r w:rsidRPr="00AF7018">
              <w:rPr>
                <w:rFonts w:cstheme="minorHAnsi"/>
                <w:szCs w:val="20"/>
              </w:rPr>
              <w:t>DSS will include information on preventing lead poisoning (including product recalls), and lead testing requirements on their member portal (online portal) that is accessed by clients, care coordinators/managers, and MDs</w:t>
            </w:r>
          </w:p>
        </w:tc>
        <w:tc>
          <w:tcPr>
            <w:tcW w:w="1033"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0E029C71" w14:textId="1E8C9703" w:rsidR="00C201AB" w:rsidRPr="00AF7018" w:rsidRDefault="00C201AB" w:rsidP="007B1EDD">
            <w:pPr>
              <w:pStyle w:val="Table-Progress"/>
              <w:rPr>
                <w:rFonts w:cstheme="minorHAnsi"/>
                <w:szCs w:val="20"/>
              </w:rPr>
            </w:pPr>
            <w:r w:rsidRPr="00AF7018">
              <w:rPr>
                <w:rFonts w:cstheme="minorHAnsi"/>
                <w:szCs w:val="20"/>
              </w:rPr>
              <w:t>DSS, DPH</w:t>
            </w:r>
            <w:r w:rsidR="0023641E" w:rsidRPr="00AF7018">
              <w:rPr>
                <w:rFonts w:cstheme="minorHAnsi"/>
                <w:szCs w:val="20"/>
              </w:rPr>
              <w:t>, Community Health Network of CT, Inc.</w:t>
            </w:r>
          </w:p>
        </w:tc>
        <w:tc>
          <w:tcPr>
            <w:tcW w:w="1311" w:type="pct"/>
            <w:tcBorders>
              <w:top w:val="single" w:sz="8" w:space="0" w:color="000000" w:themeColor="text1"/>
              <w:left w:val="single" w:sz="8" w:space="0" w:color="000000" w:themeColor="text1"/>
              <w:right w:val="single" w:sz="8" w:space="0" w:color="000000" w:themeColor="text1"/>
            </w:tcBorders>
            <w:shd w:val="clear" w:color="auto" w:fill="auto"/>
            <w:tcMar>
              <w:top w:w="15" w:type="dxa"/>
              <w:left w:w="108" w:type="dxa"/>
              <w:bottom w:w="0" w:type="dxa"/>
              <w:right w:w="108" w:type="dxa"/>
            </w:tcMar>
          </w:tcPr>
          <w:p w14:paraId="2D7CEEDE" w14:textId="7BB69E6D" w:rsidR="00AF7018" w:rsidRPr="00AF7018" w:rsidRDefault="00AF7018" w:rsidP="0046188F">
            <w:pPr>
              <w:rPr>
                <w:rFonts w:cstheme="minorHAnsi"/>
                <w:sz w:val="20"/>
                <w:szCs w:val="20"/>
              </w:rPr>
            </w:pPr>
            <w:r w:rsidRPr="00AF7018">
              <w:rPr>
                <w:rFonts w:cstheme="minorHAnsi"/>
                <w:sz w:val="20"/>
                <w:szCs w:val="20"/>
              </w:rPr>
              <w:t>April 2018 Meeting to be scheduled with Dawn Clavette</w:t>
            </w:r>
            <w:r w:rsidR="008A485E">
              <w:rPr>
                <w:rFonts w:cstheme="minorHAnsi"/>
                <w:sz w:val="20"/>
                <w:szCs w:val="20"/>
              </w:rPr>
              <w:t xml:space="preserve"> as CHNCT, Inc.</w:t>
            </w:r>
            <w:r w:rsidRPr="00AF7018">
              <w:rPr>
                <w:rFonts w:cstheme="minorHAnsi"/>
                <w:sz w:val="20"/>
                <w:szCs w:val="20"/>
              </w:rPr>
              <w:t xml:space="preserve"> to discuss additional deliverables</w:t>
            </w:r>
            <w:r w:rsidR="008A485E">
              <w:rPr>
                <w:rFonts w:cstheme="minorHAnsi"/>
                <w:sz w:val="20"/>
                <w:szCs w:val="20"/>
              </w:rPr>
              <w:t>.</w:t>
            </w:r>
          </w:p>
          <w:p w14:paraId="2CE48F3F" w14:textId="77777777" w:rsidR="00AF7018" w:rsidRPr="00AF7018" w:rsidRDefault="00AF7018" w:rsidP="0046188F">
            <w:pPr>
              <w:rPr>
                <w:rFonts w:cstheme="minorHAnsi"/>
                <w:sz w:val="20"/>
                <w:szCs w:val="20"/>
              </w:rPr>
            </w:pPr>
          </w:p>
          <w:p w14:paraId="2F6AFD36" w14:textId="6AC2B615" w:rsidR="0046188F" w:rsidRPr="00AF7018" w:rsidRDefault="0046188F" w:rsidP="008A485E">
            <w:pPr>
              <w:rPr>
                <w:rFonts w:cstheme="minorHAnsi"/>
                <w:color w:val="FF0000"/>
                <w:sz w:val="20"/>
                <w:szCs w:val="20"/>
              </w:rPr>
            </w:pPr>
            <w:r w:rsidRPr="00AF7018">
              <w:rPr>
                <w:rFonts w:cstheme="minorHAnsi"/>
                <w:sz w:val="20"/>
                <w:szCs w:val="20"/>
              </w:rPr>
              <w:t>5/8/18 DPH Lead Program</w:t>
            </w:r>
            <w:r w:rsidR="008A485E">
              <w:rPr>
                <w:rFonts w:cstheme="minorHAnsi"/>
                <w:sz w:val="20"/>
                <w:szCs w:val="20"/>
              </w:rPr>
              <w:t xml:space="preserve"> conducted a </w:t>
            </w:r>
            <w:r w:rsidRPr="00AF7018">
              <w:rPr>
                <w:rFonts w:cstheme="minorHAnsi"/>
                <w:sz w:val="20"/>
                <w:szCs w:val="20"/>
              </w:rPr>
              <w:t>presentation on Healthy Homes to the Utilization Review Nurses that conduct home visits with patients</w:t>
            </w:r>
            <w:r w:rsidR="008A485E">
              <w:rPr>
                <w:rFonts w:cstheme="minorHAnsi"/>
                <w:sz w:val="20"/>
                <w:szCs w:val="20"/>
              </w:rPr>
              <w:t>.</w:t>
            </w:r>
          </w:p>
        </w:tc>
      </w:tr>
      <w:tr w:rsidR="00C201AB" w:rsidRPr="00AF7018" w14:paraId="2E427764" w14:textId="77777777" w:rsidTr="00731B44">
        <w:trPr>
          <w:cantSplit/>
          <w:trHeight w:val="1315"/>
        </w:trPr>
        <w:tc>
          <w:tcPr>
            <w:tcW w:w="1155" w:type="pct"/>
            <w:tcBorders>
              <w:left w:val="single" w:sz="4" w:space="0" w:color="auto"/>
              <w:right w:val="single" w:sz="4" w:space="0" w:color="auto"/>
            </w:tcBorders>
            <w:shd w:val="clear" w:color="auto" w:fill="auto"/>
            <w:tcMar>
              <w:top w:w="15" w:type="dxa"/>
              <w:left w:w="108" w:type="dxa"/>
              <w:bottom w:w="0" w:type="dxa"/>
              <w:right w:w="108" w:type="dxa"/>
            </w:tcMar>
          </w:tcPr>
          <w:p w14:paraId="48C90322" w14:textId="77777777" w:rsidR="00C201AB" w:rsidRPr="00AF7018" w:rsidRDefault="00C201AB" w:rsidP="00C201AB">
            <w:pPr>
              <w:pStyle w:val="Table-Strategies"/>
              <w:rPr>
                <w:rFonts w:cstheme="minorHAnsi"/>
                <w:szCs w:val="20"/>
              </w:rPr>
            </w:pPr>
          </w:p>
        </w:tc>
        <w:tc>
          <w:tcPr>
            <w:tcW w:w="1501"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66D41459" w14:textId="7E0EE5C6" w:rsidR="00C201AB" w:rsidRPr="00AF7018" w:rsidRDefault="00C201AB" w:rsidP="00AF7018">
            <w:pPr>
              <w:pStyle w:val="Table-ActionSteps"/>
              <w:rPr>
                <w:rFonts w:cstheme="minorHAnsi"/>
                <w:szCs w:val="20"/>
              </w:rPr>
            </w:pPr>
            <w:r w:rsidRPr="00AF7018">
              <w:rPr>
                <w:rFonts w:cstheme="minorHAnsi"/>
                <w:szCs w:val="20"/>
              </w:rPr>
              <w:t xml:space="preserve">DSS will reach out to its network of medical care providers to ensure they are testing children two times (one time between before turning 2, and then again at 2-3 years old) </w:t>
            </w:r>
          </w:p>
        </w:tc>
        <w:tc>
          <w:tcPr>
            <w:tcW w:w="1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711D7F42" w14:textId="006BE3F8" w:rsidR="00C201AB" w:rsidRPr="00AF7018" w:rsidRDefault="00C201AB" w:rsidP="0057604E">
            <w:pPr>
              <w:pStyle w:val="Table-Progress"/>
              <w:rPr>
                <w:rFonts w:cstheme="minorHAnsi"/>
                <w:szCs w:val="20"/>
              </w:rPr>
            </w:pPr>
            <w:r w:rsidRPr="00AF7018">
              <w:rPr>
                <w:rFonts w:cstheme="minorHAnsi"/>
                <w:szCs w:val="20"/>
              </w:rPr>
              <w:t>DSS, C</w:t>
            </w:r>
            <w:r w:rsidR="00F17B4B" w:rsidRPr="00AF7018">
              <w:rPr>
                <w:rFonts w:cstheme="minorHAnsi"/>
                <w:szCs w:val="20"/>
              </w:rPr>
              <w:t xml:space="preserve">ommunity Health Network of CT, Inc. </w:t>
            </w:r>
            <w:r w:rsidRPr="00AF7018">
              <w:rPr>
                <w:rFonts w:cstheme="minorHAnsi"/>
                <w:szCs w:val="20"/>
              </w:rPr>
              <w:t>providers, Medicaid</w:t>
            </w:r>
          </w:p>
        </w:tc>
        <w:tc>
          <w:tcPr>
            <w:tcW w:w="13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083258A8" w14:textId="77777777" w:rsidR="00AF7018" w:rsidRDefault="00AF7018" w:rsidP="00AF7018">
            <w:pPr>
              <w:rPr>
                <w:rFonts w:cstheme="minorHAnsi"/>
                <w:sz w:val="20"/>
                <w:szCs w:val="20"/>
              </w:rPr>
            </w:pPr>
            <w:r w:rsidRPr="00AF7018">
              <w:rPr>
                <w:rFonts w:cstheme="minorHAnsi"/>
                <w:sz w:val="20"/>
                <w:szCs w:val="20"/>
              </w:rPr>
              <w:t>April 2018 Meeting to be scheduled with Dawn Clavette to discuss additional deliverables</w:t>
            </w:r>
            <w:r w:rsidR="008A485E">
              <w:rPr>
                <w:rFonts w:cstheme="minorHAnsi"/>
                <w:sz w:val="20"/>
                <w:szCs w:val="20"/>
              </w:rPr>
              <w:t>.</w:t>
            </w:r>
          </w:p>
          <w:p w14:paraId="4AD02E7A" w14:textId="77777777" w:rsidR="008A485E" w:rsidRDefault="008A485E" w:rsidP="00AF7018">
            <w:pPr>
              <w:rPr>
                <w:rFonts w:cstheme="minorHAnsi"/>
                <w:sz w:val="20"/>
                <w:szCs w:val="20"/>
              </w:rPr>
            </w:pPr>
          </w:p>
          <w:p w14:paraId="55F52D46" w14:textId="3903D5AA" w:rsidR="008A485E" w:rsidRPr="00AF7018" w:rsidRDefault="008A485E" w:rsidP="00AF7018">
            <w:pPr>
              <w:rPr>
                <w:rFonts w:cstheme="minorHAnsi"/>
                <w:sz w:val="20"/>
                <w:szCs w:val="20"/>
              </w:rPr>
            </w:pPr>
            <w:r>
              <w:rPr>
                <w:rFonts w:cstheme="minorHAnsi"/>
                <w:sz w:val="20"/>
                <w:szCs w:val="20"/>
              </w:rPr>
              <w:t xml:space="preserve">5/8/18 DPH Lead Program met with CHNCT, Inc. staff to discuss increasing lead awareness to their members.  DPH Lead Program to follow-up mid-July 2018. </w:t>
            </w:r>
          </w:p>
          <w:p w14:paraId="13A7FA85" w14:textId="77777777" w:rsidR="00C201AB" w:rsidRPr="00AF7018" w:rsidRDefault="00C201AB" w:rsidP="00C201AB">
            <w:pPr>
              <w:rPr>
                <w:rFonts w:cstheme="minorHAnsi"/>
                <w:bCs/>
                <w:color w:val="FF0000"/>
                <w:sz w:val="20"/>
                <w:szCs w:val="20"/>
              </w:rPr>
            </w:pPr>
          </w:p>
        </w:tc>
      </w:tr>
      <w:tr w:rsidR="00570DE1" w:rsidRPr="00AF7018" w14:paraId="2F71AEDE" w14:textId="77777777" w:rsidTr="00D5328C">
        <w:trPr>
          <w:cantSplit/>
          <w:trHeight w:val="2924"/>
        </w:trPr>
        <w:tc>
          <w:tcPr>
            <w:tcW w:w="1155" w:type="pct"/>
            <w:tcBorders>
              <w:left w:val="single" w:sz="4" w:space="0" w:color="auto"/>
              <w:right w:val="single" w:sz="4" w:space="0" w:color="auto"/>
            </w:tcBorders>
            <w:shd w:val="clear" w:color="auto" w:fill="auto"/>
            <w:tcMar>
              <w:top w:w="15" w:type="dxa"/>
              <w:left w:w="108" w:type="dxa"/>
              <w:bottom w:w="0" w:type="dxa"/>
              <w:right w:w="108" w:type="dxa"/>
            </w:tcMar>
          </w:tcPr>
          <w:p w14:paraId="1E68887F" w14:textId="2F93D8E9" w:rsidR="00570DE1" w:rsidRPr="00AF7018" w:rsidRDefault="00570DE1" w:rsidP="00C201AB">
            <w:pPr>
              <w:pStyle w:val="Table-Strategies"/>
              <w:rPr>
                <w:rFonts w:cstheme="minorHAnsi"/>
                <w:szCs w:val="20"/>
              </w:rPr>
            </w:pPr>
          </w:p>
        </w:tc>
        <w:tc>
          <w:tcPr>
            <w:tcW w:w="1501"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584DE90" w14:textId="7E47A8D8" w:rsidR="00570DE1" w:rsidRPr="00AF7018" w:rsidRDefault="00570DE1" w:rsidP="00286C5C">
            <w:pPr>
              <w:pStyle w:val="Table-ActionSteps"/>
              <w:rPr>
                <w:rFonts w:cstheme="minorHAnsi"/>
                <w:szCs w:val="20"/>
              </w:rPr>
            </w:pPr>
            <w:r w:rsidRPr="00AF7018">
              <w:rPr>
                <w:rFonts w:cstheme="minorHAnsi"/>
                <w:szCs w:val="20"/>
              </w:rPr>
              <w:t>DPH L</w:t>
            </w:r>
            <w:r w:rsidR="001962B9" w:rsidRPr="00AF7018">
              <w:rPr>
                <w:rFonts w:cstheme="minorHAnsi"/>
                <w:szCs w:val="20"/>
              </w:rPr>
              <w:t>ead</w:t>
            </w:r>
            <w:r w:rsidRPr="00AF7018">
              <w:rPr>
                <w:rFonts w:cstheme="minorHAnsi"/>
                <w:szCs w:val="20"/>
              </w:rPr>
              <w:t xml:space="preserve"> staff will provide training to the home visitors at an array of meetings, e.g. Nurturing Families In Action Training; Continuous Quality Improvement Annual Meeting; Help Me Grow Network meetings </w:t>
            </w:r>
          </w:p>
          <w:p w14:paraId="2B493EAA" w14:textId="1CAF9CEC" w:rsidR="00570DE1" w:rsidRPr="00AF7018" w:rsidRDefault="001962B9" w:rsidP="00286C5C">
            <w:pPr>
              <w:pStyle w:val="Table-ActionSteps"/>
              <w:numPr>
                <w:ilvl w:val="0"/>
                <w:numId w:val="0"/>
              </w:numPr>
              <w:ind w:left="360"/>
              <w:rPr>
                <w:rFonts w:cstheme="minorHAnsi"/>
                <w:b/>
                <w:szCs w:val="20"/>
              </w:rPr>
            </w:pPr>
            <w:r w:rsidRPr="00AF7018">
              <w:rPr>
                <w:rFonts w:cstheme="minorHAnsi"/>
                <w:b/>
                <w:szCs w:val="20"/>
              </w:rPr>
              <w:t>2018</w:t>
            </w:r>
          </w:p>
        </w:tc>
        <w:tc>
          <w:tcPr>
            <w:tcW w:w="103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33F5C105" w14:textId="0395A12D" w:rsidR="00570DE1" w:rsidRPr="00AF7018" w:rsidRDefault="001962B9" w:rsidP="001962B9">
            <w:pPr>
              <w:pStyle w:val="Table-Progress"/>
              <w:rPr>
                <w:rFonts w:cstheme="minorHAnsi"/>
                <w:szCs w:val="20"/>
              </w:rPr>
            </w:pPr>
            <w:r w:rsidRPr="00AF7018">
              <w:rPr>
                <w:rFonts w:cstheme="minorHAnsi"/>
                <w:szCs w:val="20"/>
              </w:rPr>
              <w:t>DPH, OEC</w:t>
            </w:r>
          </w:p>
        </w:tc>
        <w:tc>
          <w:tcPr>
            <w:tcW w:w="13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2EEC8921" w14:textId="74ADDDDA" w:rsidR="00570DE1" w:rsidRPr="00AF7018" w:rsidRDefault="001962B9" w:rsidP="00F91C93">
            <w:pPr>
              <w:rPr>
                <w:rFonts w:cstheme="minorHAnsi"/>
                <w:bCs/>
                <w:color w:val="000000" w:themeColor="text1"/>
                <w:sz w:val="20"/>
                <w:szCs w:val="20"/>
              </w:rPr>
            </w:pPr>
            <w:r w:rsidRPr="00AF7018">
              <w:rPr>
                <w:rFonts w:cstheme="minorHAnsi"/>
                <w:bCs/>
                <w:color w:val="000000" w:themeColor="text1"/>
                <w:sz w:val="20"/>
                <w:szCs w:val="20"/>
              </w:rPr>
              <w:t xml:space="preserve">10/3/17 </w:t>
            </w:r>
            <w:r w:rsidR="0046188F" w:rsidRPr="00AF7018">
              <w:rPr>
                <w:rFonts w:cstheme="minorHAnsi"/>
                <w:bCs/>
                <w:color w:val="000000" w:themeColor="text1"/>
                <w:sz w:val="20"/>
                <w:szCs w:val="20"/>
              </w:rPr>
              <w:t>DPH Lead Program did a  p</w:t>
            </w:r>
            <w:r w:rsidRPr="00AF7018">
              <w:rPr>
                <w:rFonts w:cstheme="minorHAnsi"/>
                <w:bCs/>
                <w:color w:val="000000" w:themeColor="text1"/>
                <w:sz w:val="20"/>
                <w:szCs w:val="20"/>
              </w:rPr>
              <w:t>resentation to the Greater New Haven area Help Me Grow Nurturing Families Network home visitors</w:t>
            </w:r>
          </w:p>
          <w:p w14:paraId="40C2334E" w14:textId="77777777" w:rsidR="001962B9" w:rsidRPr="00AF7018" w:rsidRDefault="001962B9" w:rsidP="00F91C93">
            <w:pPr>
              <w:rPr>
                <w:rFonts w:cstheme="minorHAnsi"/>
                <w:bCs/>
                <w:color w:val="000000" w:themeColor="text1"/>
                <w:sz w:val="20"/>
                <w:szCs w:val="20"/>
              </w:rPr>
            </w:pPr>
          </w:p>
          <w:p w14:paraId="64C8567B" w14:textId="4D24D9CC" w:rsidR="001962B9" w:rsidRPr="00AF7018" w:rsidRDefault="001962B9" w:rsidP="001962B9">
            <w:pPr>
              <w:rPr>
                <w:rFonts w:cstheme="minorHAnsi"/>
                <w:bCs/>
                <w:color w:val="000000" w:themeColor="text1"/>
                <w:sz w:val="20"/>
                <w:szCs w:val="20"/>
              </w:rPr>
            </w:pPr>
            <w:r w:rsidRPr="00AF7018">
              <w:rPr>
                <w:rFonts w:cstheme="minorHAnsi"/>
                <w:bCs/>
                <w:color w:val="000000" w:themeColor="text1"/>
                <w:sz w:val="20"/>
                <w:szCs w:val="20"/>
              </w:rPr>
              <w:t xml:space="preserve">11/17/17 </w:t>
            </w:r>
            <w:r w:rsidR="0046188F" w:rsidRPr="00AF7018">
              <w:rPr>
                <w:rFonts w:cstheme="minorHAnsi"/>
                <w:bCs/>
                <w:color w:val="000000" w:themeColor="text1"/>
                <w:sz w:val="20"/>
                <w:szCs w:val="20"/>
              </w:rPr>
              <w:t>DPH Lead Program did a p</w:t>
            </w:r>
            <w:r w:rsidRPr="00AF7018">
              <w:rPr>
                <w:rFonts w:cstheme="minorHAnsi"/>
                <w:bCs/>
                <w:color w:val="000000" w:themeColor="text1"/>
                <w:sz w:val="20"/>
                <w:szCs w:val="20"/>
              </w:rPr>
              <w:t>resentation to statewide Help Me Grow Nurturing Families Network home visitors the OEC Help Me Grow Annual Continuous Quality Improvement training</w:t>
            </w:r>
          </w:p>
          <w:p w14:paraId="520A21F2" w14:textId="77777777" w:rsidR="001962B9" w:rsidRPr="00AF7018" w:rsidRDefault="001962B9" w:rsidP="001962B9">
            <w:pPr>
              <w:rPr>
                <w:rFonts w:cstheme="minorHAnsi"/>
                <w:bCs/>
                <w:color w:val="000000" w:themeColor="text1"/>
                <w:sz w:val="20"/>
                <w:szCs w:val="20"/>
              </w:rPr>
            </w:pPr>
          </w:p>
          <w:p w14:paraId="009EDC99" w14:textId="5C14799C" w:rsidR="001962B9" w:rsidRPr="00AF7018" w:rsidRDefault="001962B9" w:rsidP="001962B9">
            <w:pPr>
              <w:rPr>
                <w:rFonts w:cstheme="minorHAnsi"/>
                <w:bCs/>
                <w:color w:val="000000" w:themeColor="text1"/>
                <w:sz w:val="20"/>
                <w:szCs w:val="20"/>
              </w:rPr>
            </w:pPr>
            <w:r w:rsidRPr="00AF7018">
              <w:rPr>
                <w:rFonts w:cstheme="minorHAnsi"/>
                <w:bCs/>
                <w:color w:val="000000" w:themeColor="text1"/>
                <w:sz w:val="20"/>
                <w:szCs w:val="20"/>
              </w:rPr>
              <w:t xml:space="preserve">1/9/18 </w:t>
            </w:r>
            <w:r w:rsidR="0046188F" w:rsidRPr="00AF7018">
              <w:rPr>
                <w:rFonts w:cstheme="minorHAnsi"/>
                <w:bCs/>
                <w:color w:val="000000" w:themeColor="text1"/>
                <w:sz w:val="20"/>
                <w:szCs w:val="20"/>
              </w:rPr>
              <w:t>DPH Lead Program did a p</w:t>
            </w:r>
            <w:r w:rsidRPr="00AF7018">
              <w:rPr>
                <w:rFonts w:cstheme="minorHAnsi"/>
                <w:bCs/>
                <w:color w:val="000000" w:themeColor="text1"/>
                <w:sz w:val="20"/>
                <w:szCs w:val="20"/>
              </w:rPr>
              <w:t xml:space="preserve">resentation to the newly hired Help Me Grow Nurturing Families Network home visitors </w:t>
            </w:r>
          </w:p>
          <w:p w14:paraId="69818ACF" w14:textId="77777777" w:rsidR="001962B9" w:rsidRPr="00AF7018" w:rsidRDefault="001962B9" w:rsidP="001962B9">
            <w:pPr>
              <w:rPr>
                <w:rFonts w:cstheme="minorHAnsi"/>
                <w:bCs/>
                <w:color w:val="000000" w:themeColor="text1"/>
                <w:sz w:val="20"/>
                <w:szCs w:val="20"/>
              </w:rPr>
            </w:pPr>
          </w:p>
          <w:p w14:paraId="6328BAE4" w14:textId="77777777" w:rsidR="001962B9" w:rsidRDefault="001962B9" w:rsidP="0046188F">
            <w:pPr>
              <w:rPr>
                <w:rFonts w:cstheme="minorHAnsi"/>
                <w:bCs/>
                <w:color w:val="000000" w:themeColor="text1"/>
                <w:sz w:val="20"/>
                <w:szCs w:val="20"/>
              </w:rPr>
            </w:pPr>
            <w:r w:rsidRPr="00AF7018">
              <w:rPr>
                <w:rFonts w:cstheme="minorHAnsi"/>
                <w:bCs/>
                <w:color w:val="000000" w:themeColor="text1"/>
                <w:sz w:val="20"/>
                <w:szCs w:val="20"/>
              </w:rPr>
              <w:t xml:space="preserve">1/10/18 </w:t>
            </w:r>
            <w:r w:rsidR="0046188F" w:rsidRPr="00AF7018">
              <w:rPr>
                <w:rFonts w:cstheme="minorHAnsi"/>
                <w:bCs/>
                <w:color w:val="000000" w:themeColor="text1"/>
                <w:sz w:val="20"/>
                <w:szCs w:val="20"/>
              </w:rPr>
              <w:t>DPH Lead Program did a p</w:t>
            </w:r>
            <w:r w:rsidRPr="00AF7018">
              <w:rPr>
                <w:rFonts w:cstheme="minorHAnsi"/>
                <w:bCs/>
                <w:color w:val="000000" w:themeColor="text1"/>
                <w:sz w:val="20"/>
                <w:szCs w:val="20"/>
              </w:rPr>
              <w:t>resentation to the Greater Windham area Help Me Grow Nurturing Families Network home visitors</w:t>
            </w:r>
          </w:p>
          <w:p w14:paraId="2C969864" w14:textId="77777777" w:rsidR="008A485E" w:rsidRDefault="008A485E" w:rsidP="0046188F">
            <w:pPr>
              <w:rPr>
                <w:rFonts w:cstheme="minorHAnsi"/>
                <w:bCs/>
                <w:color w:val="000000" w:themeColor="text1"/>
                <w:sz w:val="20"/>
                <w:szCs w:val="20"/>
              </w:rPr>
            </w:pPr>
          </w:p>
          <w:p w14:paraId="599FF99A" w14:textId="77777777" w:rsidR="008A485E" w:rsidRDefault="008A485E" w:rsidP="0046188F">
            <w:pPr>
              <w:rPr>
                <w:rFonts w:cstheme="minorHAnsi"/>
                <w:bCs/>
                <w:color w:val="000000" w:themeColor="text1"/>
                <w:sz w:val="20"/>
                <w:szCs w:val="20"/>
              </w:rPr>
            </w:pPr>
            <w:r>
              <w:rPr>
                <w:rFonts w:cstheme="minorHAnsi"/>
                <w:bCs/>
                <w:color w:val="000000" w:themeColor="text1"/>
                <w:sz w:val="20"/>
                <w:szCs w:val="20"/>
              </w:rPr>
              <w:t>1/23/18 DPH Lead Program did a presentation for the Thames Valley Council for Community Action WIC Program</w:t>
            </w:r>
          </w:p>
          <w:p w14:paraId="0FD5082A" w14:textId="77777777" w:rsidR="008A485E" w:rsidRDefault="008A485E" w:rsidP="0046188F">
            <w:pPr>
              <w:rPr>
                <w:rFonts w:cstheme="minorHAnsi"/>
                <w:bCs/>
                <w:color w:val="000000" w:themeColor="text1"/>
                <w:sz w:val="20"/>
                <w:szCs w:val="20"/>
              </w:rPr>
            </w:pPr>
          </w:p>
          <w:p w14:paraId="75FABEAB" w14:textId="1EFA4EDE" w:rsidR="008A485E" w:rsidRPr="00AF7018" w:rsidRDefault="008A485E" w:rsidP="00D5328C">
            <w:pPr>
              <w:rPr>
                <w:rFonts w:cstheme="minorHAnsi"/>
                <w:bCs/>
                <w:color w:val="000000" w:themeColor="text1"/>
                <w:sz w:val="20"/>
                <w:szCs w:val="20"/>
              </w:rPr>
            </w:pPr>
            <w:r>
              <w:rPr>
                <w:rFonts w:cstheme="minorHAnsi"/>
                <w:bCs/>
                <w:color w:val="000000" w:themeColor="text1"/>
                <w:sz w:val="20"/>
                <w:szCs w:val="20"/>
              </w:rPr>
              <w:t>5/3/18 DPH Lead Program did a presentation for the CT Early Childhood Alliance</w:t>
            </w:r>
          </w:p>
        </w:tc>
      </w:tr>
      <w:tr w:rsidR="00D5328C" w:rsidRPr="00AF7018" w14:paraId="40EA0F9D" w14:textId="77777777" w:rsidTr="00570DE1">
        <w:trPr>
          <w:cantSplit/>
          <w:trHeight w:val="2924"/>
        </w:trPr>
        <w:tc>
          <w:tcPr>
            <w:tcW w:w="1155" w:type="pct"/>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2B1C7C5" w14:textId="77777777" w:rsidR="00D5328C" w:rsidRPr="00AF7018" w:rsidRDefault="00D5328C" w:rsidP="00C201AB">
            <w:pPr>
              <w:pStyle w:val="Table-Strategies"/>
              <w:rPr>
                <w:rFonts w:cstheme="minorHAnsi"/>
                <w:szCs w:val="20"/>
              </w:rPr>
            </w:pPr>
          </w:p>
        </w:tc>
        <w:tc>
          <w:tcPr>
            <w:tcW w:w="1501" w:type="pct"/>
            <w:tcBorders>
              <w:top w:val="single" w:sz="8" w:space="0" w:color="000000" w:themeColor="text1"/>
              <w:left w:val="single" w:sz="4" w:space="0" w:color="auto"/>
              <w:bottom w:val="single" w:sz="4" w:space="0" w:color="auto"/>
              <w:right w:val="single" w:sz="8" w:space="0" w:color="000000" w:themeColor="text1"/>
            </w:tcBorders>
            <w:shd w:val="clear" w:color="auto" w:fill="auto"/>
            <w:tcMar>
              <w:top w:w="15" w:type="dxa"/>
              <w:left w:w="108" w:type="dxa"/>
              <w:bottom w:w="0" w:type="dxa"/>
              <w:right w:w="108" w:type="dxa"/>
            </w:tcMar>
          </w:tcPr>
          <w:p w14:paraId="6949A47C" w14:textId="77777777" w:rsidR="00D5328C" w:rsidRPr="00AF7018" w:rsidRDefault="00D5328C" w:rsidP="00D5328C">
            <w:pPr>
              <w:pStyle w:val="Table-ActionSteps"/>
              <w:numPr>
                <w:ilvl w:val="0"/>
                <w:numId w:val="0"/>
              </w:numPr>
              <w:ind w:left="360" w:hanging="360"/>
              <w:rPr>
                <w:rFonts w:cstheme="minorHAnsi"/>
                <w:szCs w:val="20"/>
              </w:rPr>
            </w:pPr>
          </w:p>
        </w:tc>
        <w:tc>
          <w:tcPr>
            <w:tcW w:w="1033"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tcPr>
          <w:p w14:paraId="493813AB" w14:textId="77777777" w:rsidR="00D5328C" w:rsidRPr="00AF7018" w:rsidRDefault="00D5328C" w:rsidP="001962B9">
            <w:pPr>
              <w:pStyle w:val="Table-Progress"/>
              <w:rPr>
                <w:rFonts w:cstheme="minorHAnsi"/>
                <w:szCs w:val="20"/>
              </w:rPr>
            </w:pPr>
          </w:p>
        </w:tc>
        <w:tc>
          <w:tcPr>
            <w:tcW w:w="1311"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tcPr>
          <w:p w14:paraId="2709D2B2" w14:textId="77777777" w:rsidR="00D5328C" w:rsidRDefault="00D5328C" w:rsidP="00F91C93">
            <w:pPr>
              <w:rPr>
                <w:rFonts w:cstheme="minorHAnsi"/>
                <w:bCs/>
                <w:color w:val="000000" w:themeColor="text1"/>
                <w:sz w:val="20"/>
                <w:szCs w:val="20"/>
              </w:rPr>
            </w:pPr>
            <w:r>
              <w:rPr>
                <w:rFonts w:cstheme="minorHAnsi"/>
                <w:bCs/>
                <w:color w:val="000000" w:themeColor="text1"/>
                <w:sz w:val="20"/>
                <w:szCs w:val="20"/>
              </w:rPr>
              <w:t>5/9/18 DPH Lead Program did a presentation for the New Reach Program</w:t>
            </w:r>
          </w:p>
          <w:p w14:paraId="6953CB3A" w14:textId="77777777" w:rsidR="00D5328C" w:rsidRDefault="00D5328C" w:rsidP="00F91C93">
            <w:pPr>
              <w:rPr>
                <w:rFonts w:cstheme="minorHAnsi"/>
                <w:bCs/>
                <w:color w:val="000000" w:themeColor="text1"/>
                <w:sz w:val="20"/>
                <w:szCs w:val="20"/>
              </w:rPr>
            </w:pPr>
          </w:p>
          <w:p w14:paraId="5DE7A1EA" w14:textId="0D64BAF4" w:rsidR="00D5328C" w:rsidRDefault="00D5328C" w:rsidP="00D5328C">
            <w:pPr>
              <w:rPr>
                <w:rFonts w:cstheme="minorHAnsi"/>
                <w:bCs/>
                <w:color w:val="000000" w:themeColor="text1"/>
                <w:sz w:val="20"/>
                <w:szCs w:val="20"/>
              </w:rPr>
            </w:pPr>
            <w:r>
              <w:rPr>
                <w:rFonts w:cstheme="minorHAnsi"/>
                <w:bCs/>
                <w:color w:val="000000" w:themeColor="text1"/>
                <w:sz w:val="20"/>
                <w:szCs w:val="20"/>
              </w:rPr>
              <w:t xml:space="preserve">5/24/18 DPH Lead Program did a presentation </w:t>
            </w:r>
            <w:r w:rsidRPr="00AF7018">
              <w:rPr>
                <w:rFonts w:cstheme="minorHAnsi"/>
                <w:bCs/>
                <w:color w:val="000000" w:themeColor="text1"/>
                <w:sz w:val="20"/>
                <w:szCs w:val="20"/>
              </w:rPr>
              <w:t xml:space="preserve">to the Greater </w:t>
            </w:r>
            <w:r>
              <w:rPr>
                <w:rFonts w:cstheme="minorHAnsi"/>
                <w:bCs/>
                <w:color w:val="000000" w:themeColor="text1"/>
                <w:sz w:val="20"/>
                <w:szCs w:val="20"/>
              </w:rPr>
              <w:t xml:space="preserve">New Haven </w:t>
            </w:r>
            <w:r w:rsidRPr="00AF7018">
              <w:rPr>
                <w:rFonts w:cstheme="minorHAnsi"/>
                <w:bCs/>
                <w:color w:val="000000" w:themeColor="text1"/>
                <w:sz w:val="20"/>
                <w:szCs w:val="20"/>
              </w:rPr>
              <w:t>area Help Me Grow Nurturing Families Network home visitors</w:t>
            </w:r>
          </w:p>
          <w:p w14:paraId="6C64E9BF" w14:textId="77777777" w:rsidR="00D5328C" w:rsidRDefault="00D5328C" w:rsidP="00D5328C">
            <w:pPr>
              <w:rPr>
                <w:rFonts w:cstheme="minorHAnsi"/>
                <w:bCs/>
                <w:color w:val="000000" w:themeColor="text1"/>
                <w:sz w:val="20"/>
                <w:szCs w:val="20"/>
              </w:rPr>
            </w:pPr>
          </w:p>
          <w:p w14:paraId="76682CAF" w14:textId="4FC90996" w:rsidR="00D5328C" w:rsidRDefault="00D5328C" w:rsidP="00D5328C">
            <w:pPr>
              <w:rPr>
                <w:rFonts w:cstheme="minorHAnsi"/>
                <w:bCs/>
                <w:color w:val="000000" w:themeColor="text1"/>
                <w:sz w:val="20"/>
                <w:szCs w:val="20"/>
              </w:rPr>
            </w:pPr>
            <w:r>
              <w:rPr>
                <w:rFonts w:cstheme="minorHAnsi"/>
                <w:bCs/>
                <w:color w:val="000000" w:themeColor="text1"/>
                <w:sz w:val="20"/>
                <w:szCs w:val="20"/>
              </w:rPr>
              <w:t>5/24/18 DPH Lead Program did a television recording with the Uncas Health District Director of Health called Public Health Matters which will air on the local Comcast Public Access station</w:t>
            </w:r>
          </w:p>
          <w:p w14:paraId="6E81A504" w14:textId="77777777" w:rsidR="00D5328C" w:rsidRDefault="00D5328C" w:rsidP="00D5328C">
            <w:pPr>
              <w:rPr>
                <w:rFonts w:cstheme="minorHAnsi"/>
                <w:bCs/>
                <w:color w:val="000000" w:themeColor="text1"/>
                <w:sz w:val="20"/>
                <w:szCs w:val="20"/>
              </w:rPr>
            </w:pPr>
          </w:p>
          <w:p w14:paraId="0A1D38B6" w14:textId="055DB992" w:rsidR="00D5328C" w:rsidRDefault="00D5328C" w:rsidP="00D5328C">
            <w:pPr>
              <w:rPr>
                <w:rFonts w:cstheme="minorHAnsi"/>
                <w:bCs/>
                <w:color w:val="000000" w:themeColor="text1"/>
                <w:sz w:val="20"/>
                <w:szCs w:val="20"/>
              </w:rPr>
            </w:pPr>
            <w:r>
              <w:rPr>
                <w:rFonts w:cstheme="minorHAnsi"/>
                <w:bCs/>
                <w:color w:val="000000" w:themeColor="text1"/>
                <w:sz w:val="20"/>
                <w:szCs w:val="20"/>
              </w:rPr>
              <w:t>6/20/18 DPH Lead Program and the Hartford Regional Lead Treatment Center did a presentation to the Village for Families and Children Enhanced Care Clinic staff</w:t>
            </w:r>
          </w:p>
          <w:p w14:paraId="0757732C" w14:textId="658FEF99" w:rsidR="00D5328C" w:rsidRPr="00AF7018" w:rsidRDefault="00D5328C" w:rsidP="00F91C93">
            <w:pPr>
              <w:rPr>
                <w:rFonts w:cstheme="minorHAnsi"/>
                <w:bCs/>
                <w:color w:val="000000" w:themeColor="text1"/>
                <w:sz w:val="20"/>
                <w:szCs w:val="20"/>
              </w:rPr>
            </w:pPr>
          </w:p>
        </w:tc>
      </w:tr>
    </w:tbl>
    <w:p w14:paraId="28870112" w14:textId="7EA48F5F" w:rsidR="00C04ACC" w:rsidRPr="00AF7018" w:rsidRDefault="00C04ACC">
      <w:pPr>
        <w:rPr>
          <w:rFonts w:cstheme="minorHAnsi"/>
          <w:sz w:val="20"/>
          <w:szCs w:val="20"/>
        </w:rPr>
      </w:pPr>
    </w:p>
    <w:p w14:paraId="437808FD" w14:textId="77777777" w:rsidR="00C04ACC" w:rsidRPr="00AF7018" w:rsidRDefault="00C04ACC">
      <w:pPr>
        <w:spacing w:after="160" w:line="259" w:lineRule="auto"/>
        <w:rPr>
          <w:rFonts w:cstheme="minorHAnsi"/>
          <w:sz w:val="20"/>
          <w:szCs w:val="20"/>
        </w:rPr>
      </w:pPr>
      <w:r w:rsidRPr="00AF7018">
        <w:rPr>
          <w:rFonts w:cstheme="minorHAnsi"/>
          <w:sz w:val="20"/>
          <w:szCs w:val="20"/>
        </w:rPr>
        <w:br w:type="page"/>
      </w:r>
    </w:p>
    <w:p w14:paraId="2305BC6D" w14:textId="301DE5B9" w:rsidR="00C04ACC" w:rsidRDefault="00C04ACC">
      <w:pPr>
        <w:rPr>
          <w:rFonts w:cstheme="minorHAnsi"/>
          <w:sz w:val="20"/>
          <w:szCs w:val="20"/>
        </w:rPr>
      </w:pPr>
    </w:p>
    <w:p w14:paraId="7036B608" w14:textId="77777777" w:rsidR="00B85313" w:rsidRDefault="00B85313">
      <w:pPr>
        <w:rPr>
          <w:rFonts w:cstheme="minorHAnsi"/>
          <w:sz w:val="20"/>
          <w:szCs w:val="20"/>
        </w:rPr>
      </w:pPr>
    </w:p>
    <w:tbl>
      <w:tblPr>
        <w:tblStyle w:val="TableGrid"/>
        <w:tblpPr w:leftFromText="180" w:rightFromText="180" w:vertAnchor="text" w:horzAnchor="margin" w:tblpY="11"/>
        <w:tblW w:w="0" w:type="auto"/>
        <w:tblLook w:val="04A0" w:firstRow="1" w:lastRow="0" w:firstColumn="1" w:lastColumn="0" w:noHBand="0" w:noVBand="1"/>
      </w:tblPr>
      <w:tblGrid>
        <w:gridCol w:w="14390"/>
      </w:tblGrid>
      <w:tr w:rsidR="00B85313" w:rsidRPr="00C04ACC" w14:paraId="6381930E" w14:textId="77777777" w:rsidTr="00A66B33">
        <w:tc>
          <w:tcPr>
            <w:tcW w:w="14390" w:type="dxa"/>
            <w:tcBorders>
              <w:bottom w:val="single" w:sz="4" w:space="0" w:color="auto"/>
            </w:tcBorders>
            <w:shd w:val="clear" w:color="auto" w:fill="FFD966" w:themeFill="accent4" w:themeFillTint="99"/>
          </w:tcPr>
          <w:p w14:paraId="16695F81" w14:textId="77777777" w:rsidR="00B85313" w:rsidRPr="00C04ACC" w:rsidRDefault="00B85313" w:rsidP="00A66B33">
            <w:pPr>
              <w:spacing w:after="160" w:line="259" w:lineRule="auto"/>
              <w:jc w:val="center"/>
              <w:rPr>
                <w:b/>
                <w:sz w:val="24"/>
                <w:szCs w:val="24"/>
              </w:rPr>
            </w:pPr>
            <w:r w:rsidRPr="00C04ACC">
              <w:rPr>
                <w:b/>
                <w:sz w:val="24"/>
                <w:szCs w:val="24"/>
              </w:rPr>
              <w:t>A</w:t>
            </w:r>
            <w:r>
              <w:rPr>
                <w:b/>
                <w:sz w:val="24"/>
                <w:szCs w:val="24"/>
              </w:rPr>
              <w:t>ppendix: Ongoing Strategies</w:t>
            </w:r>
          </w:p>
        </w:tc>
      </w:tr>
      <w:tr w:rsidR="00B85313" w:rsidRPr="00D425C2" w14:paraId="21A7C9EC" w14:textId="77777777" w:rsidTr="00A66B33">
        <w:trPr>
          <w:trHeight w:val="312"/>
        </w:trPr>
        <w:tc>
          <w:tcPr>
            <w:tcW w:w="14390" w:type="dxa"/>
            <w:shd w:val="clear" w:color="auto" w:fill="4C7430"/>
          </w:tcPr>
          <w:p w14:paraId="7CF36CF4" w14:textId="77777777" w:rsidR="00B85313" w:rsidRPr="00D425C2" w:rsidRDefault="00B85313" w:rsidP="00A66B33">
            <w:pPr>
              <w:spacing w:line="259" w:lineRule="auto"/>
              <w:rPr>
                <w:b/>
                <w:color w:val="FFFFFF" w:themeColor="background1"/>
              </w:rPr>
            </w:pPr>
            <w:r w:rsidRPr="00D425C2">
              <w:rPr>
                <w:b/>
                <w:color w:val="FFFFFF" w:themeColor="background1"/>
              </w:rPr>
              <w:t>Focus Area 2: Environmental Risk Factors and Health</w:t>
            </w:r>
          </w:p>
        </w:tc>
      </w:tr>
      <w:tr w:rsidR="00B85313" w:rsidRPr="00D425C2" w14:paraId="653DB8BB" w14:textId="77777777" w:rsidTr="00A66B33">
        <w:tc>
          <w:tcPr>
            <w:tcW w:w="14390" w:type="dxa"/>
            <w:shd w:val="clear" w:color="auto" w:fill="4C7430"/>
          </w:tcPr>
          <w:p w14:paraId="3CFA312F" w14:textId="77777777" w:rsidR="00B85313" w:rsidRPr="00D425C2" w:rsidRDefault="00B85313" w:rsidP="00A66B33">
            <w:pPr>
              <w:spacing w:line="259" w:lineRule="auto"/>
              <w:rPr>
                <w:b/>
                <w:color w:val="FFFFFF" w:themeColor="background1"/>
              </w:rPr>
            </w:pPr>
            <w:r w:rsidRPr="00D425C2">
              <w:rPr>
                <w:b/>
                <w:color w:val="FFFFFF" w:themeColor="background1"/>
              </w:rPr>
              <w:t>Goal 2: Enhance public health by decreasing environmental risk factors.</w:t>
            </w:r>
          </w:p>
        </w:tc>
      </w:tr>
      <w:tr w:rsidR="00B85313" w:rsidRPr="00D425C2" w14:paraId="623CA3A6" w14:textId="77777777" w:rsidTr="00A66B33">
        <w:tc>
          <w:tcPr>
            <w:tcW w:w="14390" w:type="dxa"/>
            <w:shd w:val="clear" w:color="auto" w:fill="4C7430"/>
          </w:tcPr>
          <w:p w14:paraId="0BE4C3EA" w14:textId="77777777" w:rsidR="00B85313" w:rsidRPr="00D425C2" w:rsidRDefault="00B85313" w:rsidP="00A66B33">
            <w:pPr>
              <w:spacing w:line="259" w:lineRule="auto"/>
              <w:rPr>
                <w:b/>
                <w:color w:val="FFFFFF" w:themeColor="background1"/>
              </w:rPr>
            </w:pPr>
            <w:r w:rsidRPr="00D425C2">
              <w:rPr>
                <w:b/>
                <w:color w:val="FFFFFF" w:themeColor="background1"/>
              </w:rPr>
              <w:t>Area of Concentration:     Lead</w:t>
            </w:r>
          </w:p>
        </w:tc>
      </w:tr>
    </w:tbl>
    <w:p w14:paraId="7DF254A0" w14:textId="77777777" w:rsidR="00B85313" w:rsidRPr="00AF7018" w:rsidRDefault="00B85313">
      <w:pPr>
        <w:rPr>
          <w:rFonts w:cstheme="minorHAnsi"/>
          <w:sz w:val="20"/>
          <w:szCs w:val="20"/>
        </w:rPr>
      </w:pPr>
    </w:p>
    <w:tbl>
      <w:tblPr>
        <w:tblStyle w:val="TableGrid"/>
        <w:tblpPr w:leftFromText="180" w:rightFromText="180" w:vertAnchor="text" w:horzAnchor="margin" w:tblpY="11"/>
        <w:tblW w:w="14395" w:type="dxa"/>
        <w:tblLook w:val="04A0" w:firstRow="1" w:lastRow="0" w:firstColumn="1" w:lastColumn="0" w:noHBand="0" w:noVBand="1"/>
      </w:tblPr>
      <w:tblGrid>
        <w:gridCol w:w="3597"/>
        <w:gridCol w:w="5848"/>
        <w:gridCol w:w="4950"/>
      </w:tblGrid>
      <w:tr w:rsidR="0046188F" w:rsidRPr="00AF7018" w14:paraId="24B32460" w14:textId="77777777" w:rsidTr="0046188F">
        <w:tc>
          <w:tcPr>
            <w:tcW w:w="3597" w:type="dxa"/>
            <w:shd w:val="clear" w:color="auto" w:fill="E2EFD9" w:themeFill="accent6" w:themeFillTint="33"/>
          </w:tcPr>
          <w:p w14:paraId="626D7540" w14:textId="10A59E26" w:rsidR="0046188F" w:rsidRPr="00AF7018" w:rsidRDefault="0046188F" w:rsidP="009D6FF6">
            <w:pPr>
              <w:spacing w:after="160" w:line="259" w:lineRule="auto"/>
              <w:jc w:val="center"/>
              <w:rPr>
                <w:rFonts w:cstheme="minorHAnsi"/>
                <w:b/>
                <w:sz w:val="20"/>
                <w:szCs w:val="20"/>
              </w:rPr>
            </w:pPr>
            <w:r w:rsidRPr="00AF7018">
              <w:rPr>
                <w:rFonts w:cstheme="minorHAnsi"/>
                <w:b/>
                <w:sz w:val="20"/>
                <w:szCs w:val="20"/>
              </w:rPr>
              <w:t>Strategies</w:t>
            </w:r>
          </w:p>
        </w:tc>
        <w:tc>
          <w:tcPr>
            <w:tcW w:w="5848" w:type="dxa"/>
            <w:shd w:val="clear" w:color="auto" w:fill="E2EFD9" w:themeFill="accent6" w:themeFillTint="33"/>
          </w:tcPr>
          <w:p w14:paraId="1C380041" w14:textId="6459A780" w:rsidR="0046188F" w:rsidRPr="00AF7018" w:rsidRDefault="0046188F" w:rsidP="009D6FF6">
            <w:pPr>
              <w:spacing w:after="160" w:line="259" w:lineRule="auto"/>
              <w:jc w:val="center"/>
              <w:rPr>
                <w:rFonts w:cstheme="minorHAnsi"/>
                <w:b/>
                <w:sz w:val="20"/>
                <w:szCs w:val="20"/>
              </w:rPr>
            </w:pPr>
            <w:r w:rsidRPr="00AF7018">
              <w:rPr>
                <w:rFonts w:cstheme="minorHAnsi"/>
                <w:b/>
                <w:sz w:val="20"/>
                <w:szCs w:val="20"/>
              </w:rPr>
              <w:t>Actions and Timeline</w:t>
            </w:r>
          </w:p>
        </w:tc>
        <w:tc>
          <w:tcPr>
            <w:tcW w:w="4950" w:type="dxa"/>
            <w:shd w:val="clear" w:color="auto" w:fill="E2EFD9" w:themeFill="accent6" w:themeFillTint="33"/>
          </w:tcPr>
          <w:p w14:paraId="2B6E7596" w14:textId="5E7BC71E" w:rsidR="0046188F" w:rsidRPr="00AF7018" w:rsidRDefault="0046188F" w:rsidP="009D6FF6">
            <w:pPr>
              <w:spacing w:after="160" w:line="259" w:lineRule="auto"/>
              <w:jc w:val="center"/>
              <w:rPr>
                <w:rFonts w:cstheme="minorHAnsi"/>
                <w:b/>
                <w:sz w:val="20"/>
                <w:szCs w:val="20"/>
              </w:rPr>
            </w:pPr>
            <w:r w:rsidRPr="00AF7018">
              <w:rPr>
                <w:rFonts w:cstheme="minorHAnsi"/>
                <w:b/>
                <w:sz w:val="20"/>
                <w:szCs w:val="20"/>
              </w:rPr>
              <w:t>Partners Responsible</w:t>
            </w:r>
          </w:p>
        </w:tc>
      </w:tr>
      <w:tr w:rsidR="0046188F" w:rsidRPr="00AF7018" w14:paraId="511214AE" w14:textId="77777777" w:rsidTr="0046188F">
        <w:trPr>
          <w:trHeight w:val="1238"/>
        </w:trPr>
        <w:tc>
          <w:tcPr>
            <w:tcW w:w="3597" w:type="dxa"/>
            <w:vMerge w:val="restart"/>
          </w:tcPr>
          <w:p w14:paraId="07873538" w14:textId="0BB6B237" w:rsidR="0046188F" w:rsidRPr="00AF7018" w:rsidRDefault="0046188F" w:rsidP="004A783D">
            <w:pPr>
              <w:spacing w:after="160" w:line="259" w:lineRule="auto"/>
              <w:rPr>
                <w:rFonts w:cstheme="minorHAnsi"/>
                <w:b/>
                <w:sz w:val="20"/>
                <w:szCs w:val="20"/>
              </w:rPr>
            </w:pPr>
            <w:r w:rsidRPr="00AF7018">
              <w:rPr>
                <w:rFonts w:cstheme="minorHAnsi"/>
                <w:b/>
                <w:sz w:val="20"/>
                <w:szCs w:val="20"/>
              </w:rPr>
              <w:t>Encourage local, state, and other federal agencies to facilitate data-sharing between health and housing agencies and ensure lead data is shared in a timely manner.</w:t>
            </w:r>
          </w:p>
        </w:tc>
        <w:tc>
          <w:tcPr>
            <w:tcW w:w="58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D00CE5" w14:textId="22955669" w:rsidR="0046188F" w:rsidRPr="00AF7018" w:rsidRDefault="0046188F" w:rsidP="00AF7018">
            <w:pPr>
              <w:pStyle w:val="Table-ActionSteps"/>
              <w:numPr>
                <w:ilvl w:val="0"/>
                <w:numId w:val="30"/>
              </w:numPr>
              <w:rPr>
                <w:rFonts w:cstheme="minorHAnsi"/>
                <w:szCs w:val="20"/>
              </w:rPr>
            </w:pPr>
            <w:r w:rsidRPr="00AF7018">
              <w:rPr>
                <w:rFonts w:cstheme="minorHAnsi"/>
                <w:szCs w:val="20"/>
              </w:rPr>
              <w:t xml:space="preserve">DPH will provide high/moderate risk towns with cloud maps indicating lead poisoning concentration by neighborhood </w:t>
            </w:r>
          </w:p>
          <w:p w14:paraId="69115D9D" w14:textId="718B8228" w:rsidR="0046188F" w:rsidRPr="00AF7018" w:rsidRDefault="0046188F" w:rsidP="004A783D">
            <w:pPr>
              <w:spacing w:line="259" w:lineRule="auto"/>
              <w:rPr>
                <w:rFonts w:cstheme="minorHAnsi"/>
                <w:sz w:val="20"/>
                <w:szCs w:val="20"/>
              </w:rPr>
            </w:pPr>
            <w:r w:rsidRPr="00AF7018">
              <w:rPr>
                <w:rFonts w:cstheme="minorHAnsi"/>
                <w:sz w:val="20"/>
                <w:szCs w:val="20"/>
              </w:rPr>
              <w:t xml:space="preserve">        </w:t>
            </w:r>
            <w:r w:rsidRPr="00AF7018">
              <w:rPr>
                <w:rFonts w:cstheme="minorHAnsi"/>
                <w:b/>
                <w:bCs/>
                <w:sz w:val="20"/>
                <w:szCs w:val="20"/>
              </w:rPr>
              <w:t>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4139AF" w14:textId="100D37FD" w:rsidR="0046188F" w:rsidRPr="00AF7018" w:rsidRDefault="0046188F" w:rsidP="008D61BB">
            <w:pPr>
              <w:spacing w:after="160" w:line="259" w:lineRule="auto"/>
              <w:jc w:val="center"/>
              <w:rPr>
                <w:rFonts w:cstheme="minorHAnsi"/>
                <w:sz w:val="20"/>
                <w:szCs w:val="20"/>
              </w:rPr>
            </w:pPr>
            <w:r w:rsidRPr="00AF7018">
              <w:rPr>
                <w:rFonts w:cstheme="minorHAnsi"/>
                <w:sz w:val="20"/>
                <w:szCs w:val="20"/>
              </w:rPr>
              <w:t>DPH, LHDs</w:t>
            </w:r>
          </w:p>
        </w:tc>
      </w:tr>
      <w:tr w:rsidR="0046188F" w:rsidRPr="00AF7018" w14:paraId="691D9184" w14:textId="77777777" w:rsidTr="0046188F">
        <w:tc>
          <w:tcPr>
            <w:tcW w:w="3597" w:type="dxa"/>
            <w:vMerge/>
          </w:tcPr>
          <w:p w14:paraId="6DADC55B" w14:textId="77777777" w:rsidR="0046188F" w:rsidRPr="00AF7018" w:rsidRDefault="0046188F" w:rsidP="004A783D">
            <w:pPr>
              <w:spacing w:after="160" w:line="259" w:lineRule="auto"/>
              <w:rPr>
                <w:rFonts w:cstheme="minorHAnsi"/>
                <w:sz w:val="20"/>
                <w:szCs w:val="20"/>
              </w:rPr>
            </w:pPr>
          </w:p>
        </w:tc>
        <w:tc>
          <w:tcPr>
            <w:tcW w:w="5848" w:type="dxa"/>
            <w:tcBorders>
              <w:top w:val="single" w:sz="8" w:space="0" w:color="000000" w:themeColor="text1"/>
              <w:left w:val="single" w:sz="4" w:space="0" w:color="auto"/>
              <w:right w:val="single" w:sz="8" w:space="0" w:color="000000" w:themeColor="text1"/>
            </w:tcBorders>
            <w:shd w:val="clear" w:color="auto" w:fill="auto"/>
          </w:tcPr>
          <w:p w14:paraId="229B212A" w14:textId="2C3A6FB6" w:rsidR="0046188F" w:rsidRPr="00AF7018" w:rsidRDefault="0046188F" w:rsidP="00AF7018">
            <w:pPr>
              <w:pStyle w:val="Table-ActionSteps"/>
              <w:numPr>
                <w:ilvl w:val="0"/>
                <w:numId w:val="30"/>
              </w:numPr>
              <w:rPr>
                <w:rFonts w:cstheme="minorHAnsi"/>
                <w:szCs w:val="20"/>
              </w:rPr>
            </w:pPr>
            <w:r w:rsidRPr="00AF7018">
              <w:rPr>
                <w:rFonts w:cstheme="minorHAnsi"/>
                <w:szCs w:val="20"/>
              </w:rPr>
              <w:t>The DOH will provide data and addresses on their tenant-based rental assistance programs to DPH on a quarterly basis</w:t>
            </w:r>
          </w:p>
          <w:p w14:paraId="3E7913F8" w14:textId="3453FD02" w:rsidR="0046188F" w:rsidRPr="00AF7018" w:rsidRDefault="0046188F" w:rsidP="0059714A">
            <w:pPr>
              <w:pStyle w:val="Table-ActionSteps"/>
              <w:numPr>
                <w:ilvl w:val="0"/>
                <w:numId w:val="0"/>
              </w:numPr>
              <w:ind w:left="360"/>
              <w:rPr>
                <w:rFonts w:cstheme="minorHAnsi"/>
                <w:szCs w:val="20"/>
              </w:rPr>
            </w:pPr>
            <w:r w:rsidRPr="00AF7018">
              <w:rPr>
                <w:rFonts w:cstheme="minorHAnsi"/>
                <w:b/>
                <w:szCs w:val="20"/>
              </w:rPr>
              <w:t>Ongoing</w:t>
            </w:r>
          </w:p>
        </w:tc>
        <w:tc>
          <w:tcPr>
            <w:tcW w:w="4950" w:type="dxa"/>
            <w:tcBorders>
              <w:top w:val="single" w:sz="8" w:space="0" w:color="000000" w:themeColor="text1"/>
              <w:left w:val="single" w:sz="8" w:space="0" w:color="000000" w:themeColor="text1"/>
              <w:right w:val="single" w:sz="8" w:space="0" w:color="000000" w:themeColor="text1"/>
            </w:tcBorders>
            <w:shd w:val="clear" w:color="auto" w:fill="auto"/>
          </w:tcPr>
          <w:p w14:paraId="151E0AC6" w14:textId="77777777" w:rsidR="0046188F" w:rsidRPr="00AF7018" w:rsidRDefault="0046188F" w:rsidP="008D61BB">
            <w:pPr>
              <w:pStyle w:val="Table-Progress"/>
              <w:rPr>
                <w:rFonts w:cstheme="minorHAnsi"/>
                <w:szCs w:val="20"/>
              </w:rPr>
            </w:pPr>
          </w:p>
          <w:p w14:paraId="45FFD7C0" w14:textId="3C9007A0" w:rsidR="0046188F" w:rsidRPr="00AF7018" w:rsidRDefault="0046188F" w:rsidP="008D61BB">
            <w:pPr>
              <w:spacing w:after="160" w:line="259" w:lineRule="auto"/>
              <w:jc w:val="center"/>
              <w:rPr>
                <w:rFonts w:cstheme="minorHAnsi"/>
                <w:sz w:val="20"/>
                <w:szCs w:val="20"/>
              </w:rPr>
            </w:pPr>
            <w:r w:rsidRPr="00AF7018">
              <w:rPr>
                <w:rFonts w:eastAsia="Arial" w:cstheme="minorHAnsi"/>
                <w:sz w:val="20"/>
                <w:szCs w:val="20"/>
              </w:rPr>
              <w:t>DOH, DPH</w:t>
            </w:r>
          </w:p>
        </w:tc>
      </w:tr>
      <w:tr w:rsidR="00AF7018" w:rsidRPr="00AF7018" w14:paraId="0B20438F" w14:textId="77777777" w:rsidTr="00C34F3C">
        <w:tc>
          <w:tcPr>
            <w:tcW w:w="3597" w:type="dxa"/>
            <w:vMerge w:val="restart"/>
          </w:tcPr>
          <w:p w14:paraId="3DB027C2" w14:textId="2444DC45" w:rsidR="00AF7018" w:rsidRPr="00AF7018" w:rsidRDefault="00AF7018" w:rsidP="004A783D">
            <w:pPr>
              <w:spacing w:after="160" w:line="259" w:lineRule="auto"/>
              <w:rPr>
                <w:rFonts w:cstheme="minorHAnsi"/>
                <w:b/>
                <w:sz w:val="20"/>
                <w:szCs w:val="20"/>
              </w:rPr>
            </w:pPr>
            <w:r w:rsidRPr="00AF7018">
              <w:rPr>
                <w:rFonts w:cstheme="minorHAnsi"/>
                <w:b/>
                <w:sz w:val="20"/>
                <w:szCs w:val="20"/>
              </w:rPr>
              <w:t>Increase preventive lead-safe housing standards enforcement for rental and owner-occupied housing</w:t>
            </w: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67ADAD38" w14:textId="77777777" w:rsidR="00AF7018" w:rsidRPr="00AF7018" w:rsidRDefault="00AF7018" w:rsidP="00226890">
            <w:pPr>
              <w:pStyle w:val="Table-ActionSteps"/>
              <w:numPr>
                <w:ilvl w:val="0"/>
                <w:numId w:val="24"/>
              </w:numPr>
              <w:ind w:left="340"/>
              <w:rPr>
                <w:rFonts w:cstheme="minorHAnsi"/>
                <w:szCs w:val="20"/>
              </w:rPr>
            </w:pPr>
            <w:r w:rsidRPr="00AF7018">
              <w:rPr>
                <w:rFonts w:cstheme="minorHAnsi"/>
                <w:szCs w:val="20"/>
              </w:rPr>
              <w:t>Share the SHIP Action Agenda with stakeholders and partners to engage them in reducing childhood lead poisoning rates statewide</w:t>
            </w:r>
          </w:p>
          <w:p w14:paraId="29F2216F" w14:textId="0CDB3455" w:rsidR="00AF7018" w:rsidRPr="00AF7018" w:rsidRDefault="00AF7018" w:rsidP="004A783D">
            <w:pPr>
              <w:spacing w:after="160" w:line="259" w:lineRule="auto"/>
              <w:rPr>
                <w:rFonts w:cstheme="minorHAnsi"/>
                <w:sz w:val="20"/>
                <w:szCs w:val="20"/>
              </w:rPr>
            </w:pPr>
            <w:r w:rsidRPr="00AF7018">
              <w:rPr>
                <w:rFonts w:cstheme="minorHAnsi"/>
                <w:b/>
                <w:sz w:val="20"/>
                <w:szCs w:val="20"/>
              </w:rPr>
              <w:t xml:space="preserve">       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F95EA3" w14:textId="1A1D3304" w:rsidR="00AF7018" w:rsidRPr="00AF7018" w:rsidRDefault="00AF7018" w:rsidP="008D61BB">
            <w:pPr>
              <w:spacing w:after="160" w:line="259" w:lineRule="auto"/>
              <w:jc w:val="center"/>
              <w:rPr>
                <w:rFonts w:cstheme="minorHAnsi"/>
                <w:sz w:val="20"/>
                <w:szCs w:val="20"/>
              </w:rPr>
            </w:pPr>
            <w:r w:rsidRPr="00AF7018">
              <w:rPr>
                <w:rFonts w:cstheme="minorHAnsi"/>
                <w:sz w:val="20"/>
                <w:szCs w:val="20"/>
              </w:rPr>
              <w:t>SHIP Lead Action Team, all partners</w:t>
            </w:r>
          </w:p>
        </w:tc>
      </w:tr>
      <w:tr w:rsidR="00AF7018" w:rsidRPr="00AF7018" w14:paraId="5FC2E7D8" w14:textId="77777777" w:rsidTr="0046188F">
        <w:tc>
          <w:tcPr>
            <w:tcW w:w="3597" w:type="dxa"/>
            <w:vMerge/>
          </w:tcPr>
          <w:p w14:paraId="44AA009B" w14:textId="77777777" w:rsidR="00AF7018" w:rsidRPr="00AF7018" w:rsidRDefault="00AF7018" w:rsidP="004A783D">
            <w:pPr>
              <w:spacing w:after="160" w:line="259" w:lineRule="auto"/>
              <w:rPr>
                <w:rFonts w:cstheme="minorHAnsi"/>
                <w:sz w:val="20"/>
                <w:szCs w:val="20"/>
              </w:rPr>
            </w:pP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76075B3E" w14:textId="5A37EC43" w:rsidR="00AF7018" w:rsidRPr="00AF7018" w:rsidRDefault="00AF7018" w:rsidP="00A41A39">
            <w:pPr>
              <w:pStyle w:val="ListParagraph"/>
              <w:numPr>
                <w:ilvl w:val="0"/>
                <w:numId w:val="24"/>
              </w:numPr>
              <w:ind w:left="340"/>
              <w:rPr>
                <w:rFonts w:cstheme="minorHAnsi"/>
                <w:sz w:val="20"/>
              </w:rPr>
            </w:pPr>
            <w:r w:rsidRPr="00AF7018">
              <w:rPr>
                <w:rFonts w:cstheme="minorHAnsi"/>
                <w:sz w:val="20"/>
              </w:rPr>
              <w:t xml:space="preserve">Review federal legislation and identify opportunities for funding lead abatement or lead hazard remediation </w:t>
            </w:r>
            <w:r>
              <w:rPr>
                <w:rFonts w:cstheme="minorHAnsi"/>
                <w:sz w:val="20"/>
              </w:rPr>
              <w:t xml:space="preserve"> </w:t>
            </w:r>
          </w:p>
          <w:p w14:paraId="48E616EB" w14:textId="2E6FA81F" w:rsidR="00AF7018" w:rsidRPr="00AF7018" w:rsidRDefault="00AF7018" w:rsidP="00AF7018">
            <w:r>
              <w:rPr>
                <w:rFonts w:cstheme="minorHAnsi"/>
                <w:b/>
                <w:sz w:val="20"/>
              </w:rPr>
              <w:t xml:space="preserve">       </w:t>
            </w:r>
            <w:r w:rsidRPr="00AF7018">
              <w:rPr>
                <w:rFonts w:cstheme="minorHAnsi"/>
                <w:b/>
                <w:sz w:val="20"/>
              </w:rPr>
              <w:t>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0A22B1" w14:textId="0614B54C" w:rsidR="00AF7018" w:rsidRPr="00AF7018" w:rsidRDefault="00AF7018" w:rsidP="008D61BB">
            <w:pPr>
              <w:spacing w:after="160" w:line="259" w:lineRule="auto"/>
              <w:jc w:val="center"/>
              <w:rPr>
                <w:rFonts w:cstheme="minorHAnsi"/>
                <w:sz w:val="20"/>
                <w:szCs w:val="20"/>
              </w:rPr>
            </w:pPr>
            <w:r w:rsidRPr="00AF7018">
              <w:rPr>
                <w:rFonts w:cstheme="minorHAnsi"/>
                <w:sz w:val="20"/>
                <w:szCs w:val="20"/>
              </w:rPr>
              <w:t>DOH, CHFA</w:t>
            </w:r>
          </w:p>
        </w:tc>
      </w:tr>
      <w:tr w:rsidR="00AF7018" w:rsidRPr="00AF7018" w14:paraId="0ABABB4C" w14:textId="77777777" w:rsidTr="0046188F">
        <w:tc>
          <w:tcPr>
            <w:tcW w:w="3597" w:type="dxa"/>
            <w:vMerge w:val="restart"/>
          </w:tcPr>
          <w:p w14:paraId="4482A613" w14:textId="1F3D3BB5" w:rsidR="00AF7018" w:rsidRPr="00AF7018" w:rsidRDefault="00AF7018" w:rsidP="004A783D">
            <w:pPr>
              <w:spacing w:after="160" w:line="259" w:lineRule="auto"/>
              <w:rPr>
                <w:rFonts w:cstheme="minorHAnsi"/>
                <w:b/>
                <w:sz w:val="20"/>
                <w:szCs w:val="20"/>
              </w:rPr>
            </w:pPr>
            <w:r w:rsidRPr="00AF7018">
              <w:rPr>
                <w:rFonts w:cstheme="minorHAnsi"/>
                <w:b/>
                <w:sz w:val="20"/>
                <w:szCs w:val="20"/>
              </w:rPr>
              <w:t xml:space="preserve">Identify financing for lead hazard remediation and lead abatement for residential properties statewide </w:t>
            </w:r>
          </w:p>
          <w:p w14:paraId="3450BEC4" w14:textId="04F3953B" w:rsidR="00AF7018" w:rsidRPr="00AF7018" w:rsidRDefault="00AF7018" w:rsidP="004A783D">
            <w:pPr>
              <w:spacing w:after="160" w:line="259" w:lineRule="auto"/>
              <w:rPr>
                <w:rFonts w:cstheme="minorHAnsi"/>
                <w:sz w:val="20"/>
                <w:szCs w:val="20"/>
              </w:rPr>
            </w:pPr>
            <w:r w:rsidRPr="00AF7018">
              <w:rPr>
                <w:rFonts w:cstheme="minorHAnsi"/>
                <w:b/>
                <w:sz w:val="20"/>
                <w:szCs w:val="20"/>
              </w:rPr>
              <w:t>*</w:t>
            </w:r>
            <w:r w:rsidRPr="00AF7018">
              <w:rPr>
                <w:rFonts w:cstheme="minorHAnsi"/>
                <w:b/>
                <w:i/>
                <w:sz w:val="20"/>
                <w:szCs w:val="20"/>
              </w:rPr>
              <w:t>see Healthy Housing Strategy 2</w:t>
            </w: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5D8F79FE" w14:textId="7F0281FD" w:rsidR="00AF7018" w:rsidRPr="00AF7018" w:rsidRDefault="00AF7018" w:rsidP="00AF7018">
            <w:pPr>
              <w:pStyle w:val="Table-ActionSteps"/>
              <w:numPr>
                <w:ilvl w:val="0"/>
                <w:numId w:val="0"/>
              </w:numPr>
              <w:ind w:left="360" w:hanging="360"/>
              <w:rPr>
                <w:rFonts w:cstheme="minorHAnsi"/>
                <w:szCs w:val="20"/>
              </w:rPr>
            </w:pPr>
            <w:r>
              <w:rPr>
                <w:rFonts w:cstheme="minorHAnsi"/>
                <w:szCs w:val="20"/>
              </w:rPr>
              <w:t xml:space="preserve">a.    </w:t>
            </w:r>
            <w:r w:rsidRPr="00AF7018">
              <w:rPr>
                <w:rFonts w:cstheme="minorHAnsi"/>
                <w:szCs w:val="20"/>
              </w:rPr>
              <w:t xml:space="preserve">CT Children’s Medical Center Healthy Homes Program (CCMC HHP) will continue to apply for DOH and HUD funding sources to be used for lead abatement/remediation and healthy homes interventions in high-risk communities in CT </w:t>
            </w:r>
          </w:p>
          <w:p w14:paraId="18B32618" w14:textId="5BF0BBBF" w:rsidR="00AF7018" w:rsidRPr="00AF7018" w:rsidRDefault="00AF7018" w:rsidP="00AF7018">
            <w:pPr>
              <w:spacing w:after="160" w:line="259" w:lineRule="auto"/>
              <w:rPr>
                <w:rFonts w:cstheme="minorHAnsi"/>
                <w:b/>
                <w:sz w:val="20"/>
                <w:szCs w:val="20"/>
              </w:rPr>
            </w:pPr>
            <w:r>
              <w:rPr>
                <w:rFonts w:cstheme="minorHAnsi"/>
                <w:b/>
                <w:sz w:val="20"/>
                <w:szCs w:val="20"/>
              </w:rPr>
              <w:t xml:space="preserve">        </w:t>
            </w:r>
            <w:r w:rsidRPr="00AF7018">
              <w:rPr>
                <w:rFonts w:cstheme="minorHAnsi"/>
                <w:b/>
                <w:sz w:val="20"/>
                <w:szCs w:val="20"/>
              </w:rPr>
              <w:t>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C925BC" w14:textId="23F7B4D1" w:rsidR="00AF7018" w:rsidRPr="00AF7018" w:rsidRDefault="00AF7018" w:rsidP="008D61BB">
            <w:pPr>
              <w:spacing w:after="160" w:line="259" w:lineRule="auto"/>
              <w:jc w:val="center"/>
              <w:rPr>
                <w:rFonts w:cstheme="minorHAnsi"/>
                <w:sz w:val="20"/>
                <w:szCs w:val="20"/>
              </w:rPr>
            </w:pPr>
            <w:r w:rsidRPr="00AF7018">
              <w:rPr>
                <w:rFonts w:cstheme="minorHAnsi"/>
                <w:sz w:val="20"/>
                <w:szCs w:val="20"/>
              </w:rPr>
              <w:t>DOH, CCMC HHP</w:t>
            </w:r>
          </w:p>
        </w:tc>
      </w:tr>
      <w:tr w:rsidR="00AF7018" w:rsidRPr="00AF7018" w14:paraId="6D9296C6" w14:textId="77777777" w:rsidTr="0046188F">
        <w:tc>
          <w:tcPr>
            <w:tcW w:w="3597" w:type="dxa"/>
            <w:vMerge/>
          </w:tcPr>
          <w:p w14:paraId="1635CD31" w14:textId="77777777" w:rsidR="00AF7018" w:rsidRPr="00AF7018" w:rsidRDefault="00AF7018" w:rsidP="004A783D">
            <w:pPr>
              <w:spacing w:after="160" w:line="259" w:lineRule="auto"/>
              <w:rPr>
                <w:rFonts w:cstheme="minorHAnsi"/>
                <w:sz w:val="20"/>
                <w:szCs w:val="20"/>
              </w:rPr>
            </w:pP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2B8507B5" w14:textId="5BB36753" w:rsidR="00AF7018" w:rsidRPr="00AF7018" w:rsidRDefault="00AF7018" w:rsidP="00AF7018">
            <w:pPr>
              <w:pStyle w:val="Table-ActionSteps"/>
              <w:numPr>
                <w:ilvl w:val="0"/>
                <w:numId w:val="0"/>
              </w:numPr>
              <w:ind w:left="360" w:hanging="360"/>
              <w:rPr>
                <w:rFonts w:cstheme="minorHAnsi"/>
                <w:szCs w:val="20"/>
              </w:rPr>
            </w:pPr>
            <w:r>
              <w:rPr>
                <w:rFonts w:cstheme="minorHAnsi"/>
                <w:szCs w:val="20"/>
              </w:rPr>
              <w:t xml:space="preserve">b.    </w:t>
            </w:r>
            <w:r w:rsidRPr="00AF7018">
              <w:rPr>
                <w:rFonts w:cstheme="minorHAnsi"/>
                <w:szCs w:val="20"/>
              </w:rPr>
              <w:t xml:space="preserve">The RLTCs will host educational meetings on lead poisoning and testing for pediatricians and continue work of EPIC on larger scale </w:t>
            </w:r>
          </w:p>
          <w:p w14:paraId="290D8960" w14:textId="1976674F" w:rsidR="00AF7018" w:rsidRPr="00AF7018" w:rsidRDefault="00AF7018" w:rsidP="004A783D">
            <w:pPr>
              <w:pStyle w:val="Table-ActionSteps"/>
              <w:numPr>
                <w:ilvl w:val="0"/>
                <w:numId w:val="0"/>
              </w:numPr>
              <w:ind w:left="360"/>
              <w:rPr>
                <w:rFonts w:cstheme="minorHAnsi"/>
                <w:b/>
                <w:szCs w:val="20"/>
              </w:rPr>
            </w:pPr>
            <w:r w:rsidRPr="00AF7018">
              <w:rPr>
                <w:rFonts w:cstheme="minorHAnsi"/>
                <w:b/>
                <w:szCs w:val="20"/>
              </w:rPr>
              <w:t>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5BE0AD" w14:textId="70433788" w:rsidR="00AF7018" w:rsidRPr="00AF7018" w:rsidRDefault="00AF7018" w:rsidP="008D61BB">
            <w:pPr>
              <w:spacing w:after="160" w:line="259" w:lineRule="auto"/>
              <w:jc w:val="center"/>
              <w:rPr>
                <w:rFonts w:cstheme="minorHAnsi"/>
                <w:sz w:val="20"/>
                <w:szCs w:val="20"/>
              </w:rPr>
            </w:pPr>
            <w:r w:rsidRPr="00AF7018">
              <w:rPr>
                <w:rFonts w:cstheme="minorHAnsi"/>
                <w:sz w:val="20"/>
                <w:szCs w:val="20"/>
              </w:rPr>
              <w:t>LHDs, DPH, HUD grantees, EPIC, CT AAP, Regional Lead Treatment Centers (RLTCs)</w:t>
            </w:r>
          </w:p>
        </w:tc>
      </w:tr>
      <w:tr w:rsidR="00B85313" w:rsidRPr="00AF7018" w14:paraId="2EE79D83" w14:textId="77777777" w:rsidTr="0046188F">
        <w:tc>
          <w:tcPr>
            <w:tcW w:w="3597" w:type="dxa"/>
            <w:vMerge w:val="restart"/>
          </w:tcPr>
          <w:p w14:paraId="42F2C7AA" w14:textId="3A4756D7" w:rsidR="00B85313" w:rsidRPr="00AF7018" w:rsidRDefault="00B85313" w:rsidP="004A783D">
            <w:pPr>
              <w:spacing w:after="160" w:line="259" w:lineRule="auto"/>
              <w:rPr>
                <w:rFonts w:cstheme="minorHAnsi"/>
                <w:b/>
                <w:sz w:val="20"/>
                <w:szCs w:val="20"/>
              </w:rPr>
            </w:pPr>
            <w:r w:rsidRPr="00AF7018">
              <w:rPr>
                <w:rFonts w:cstheme="minorHAnsi"/>
                <w:b/>
                <w:sz w:val="20"/>
                <w:szCs w:val="20"/>
              </w:rPr>
              <w:t xml:space="preserve">Educate families, service providers, advocates, and public officials on sources of lead in homes and other </w:t>
            </w:r>
            <w:r w:rsidRPr="00AF7018">
              <w:rPr>
                <w:rFonts w:cstheme="minorHAnsi"/>
                <w:b/>
                <w:sz w:val="20"/>
                <w:szCs w:val="20"/>
              </w:rPr>
              <w:lastRenderedPageBreak/>
              <w:t>child-occupied facilities, so that lead hazards are eliminated before children are exposed.</w:t>
            </w: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2CD6377C" w14:textId="03F659B8" w:rsidR="00B85313" w:rsidRPr="00AF7018" w:rsidRDefault="00B85313" w:rsidP="00AF7018">
            <w:pPr>
              <w:pStyle w:val="Table-ActionSteps"/>
              <w:numPr>
                <w:ilvl w:val="0"/>
                <w:numId w:val="31"/>
              </w:numPr>
              <w:rPr>
                <w:rFonts w:cstheme="minorHAnsi"/>
                <w:szCs w:val="20"/>
              </w:rPr>
            </w:pPr>
            <w:r w:rsidRPr="00AF7018">
              <w:rPr>
                <w:rFonts w:cstheme="minorHAnsi"/>
                <w:szCs w:val="20"/>
              </w:rPr>
              <w:lastRenderedPageBreak/>
              <w:t xml:space="preserve">DPH will increase frequencies of communication to licensed workforce </w:t>
            </w:r>
          </w:p>
          <w:p w14:paraId="76E2AABB" w14:textId="4F8AE706" w:rsidR="00B85313" w:rsidRPr="00AF7018" w:rsidRDefault="00B85313" w:rsidP="004A783D">
            <w:pPr>
              <w:spacing w:after="160" w:line="259" w:lineRule="auto"/>
              <w:rPr>
                <w:rFonts w:cstheme="minorHAnsi"/>
                <w:b/>
                <w:sz w:val="20"/>
                <w:szCs w:val="20"/>
              </w:rPr>
            </w:pPr>
            <w:r>
              <w:rPr>
                <w:rFonts w:cstheme="minorHAnsi"/>
                <w:b/>
                <w:sz w:val="20"/>
                <w:szCs w:val="20"/>
              </w:rPr>
              <w:t xml:space="preserve">        </w:t>
            </w:r>
            <w:r w:rsidRPr="00AF7018">
              <w:rPr>
                <w:rFonts w:cstheme="minorHAnsi"/>
                <w:b/>
                <w:sz w:val="20"/>
                <w:szCs w:val="20"/>
              </w:rPr>
              <w:t>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BCD04D" w14:textId="34234B6D" w:rsidR="00B85313" w:rsidRPr="00AF7018" w:rsidRDefault="00B85313" w:rsidP="00976C27">
            <w:pPr>
              <w:spacing w:after="160" w:line="259" w:lineRule="auto"/>
              <w:jc w:val="center"/>
              <w:rPr>
                <w:rFonts w:cstheme="minorHAnsi"/>
                <w:sz w:val="20"/>
                <w:szCs w:val="20"/>
              </w:rPr>
            </w:pPr>
            <w:r w:rsidRPr="00AF7018">
              <w:rPr>
                <w:rFonts w:cstheme="minorHAnsi"/>
                <w:sz w:val="20"/>
                <w:szCs w:val="20"/>
              </w:rPr>
              <w:t>DPH, training providers, private sector</w:t>
            </w:r>
          </w:p>
        </w:tc>
      </w:tr>
      <w:tr w:rsidR="00B85313" w:rsidRPr="00AF7018" w14:paraId="056323A4" w14:textId="77777777" w:rsidTr="00C34F3C">
        <w:tc>
          <w:tcPr>
            <w:tcW w:w="3597" w:type="dxa"/>
            <w:vMerge/>
          </w:tcPr>
          <w:p w14:paraId="59911BCB" w14:textId="77777777" w:rsidR="00B85313" w:rsidRPr="00AF7018" w:rsidRDefault="00B85313" w:rsidP="004A783D">
            <w:pPr>
              <w:spacing w:after="160" w:line="259" w:lineRule="auto"/>
              <w:rPr>
                <w:rFonts w:cstheme="minorHAnsi"/>
                <w:sz w:val="20"/>
                <w:szCs w:val="20"/>
              </w:rPr>
            </w:pPr>
          </w:p>
        </w:tc>
        <w:tc>
          <w:tcPr>
            <w:tcW w:w="5848" w:type="dxa"/>
            <w:tcBorders>
              <w:top w:val="single" w:sz="8" w:space="0" w:color="000000" w:themeColor="text1"/>
              <w:left w:val="single" w:sz="4" w:space="0" w:color="auto"/>
              <w:right w:val="single" w:sz="8" w:space="0" w:color="000000" w:themeColor="text1"/>
            </w:tcBorders>
            <w:shd w:val="clear" w:color="auto" w:fill="auto"/>
          </w:tcPr>
          <w:p w14:paraId="281656AF" w14:textId="53CA891E" w:rsidR="00B85313" w:rsidRPr="00AF7018" w:rsidRDefault="00B85313" w:rsidP="00AF7018">
            <w:pPr>
              <w:pStyle w:val="Table-ActionSteps"/>
              <w:numPr>
                <w:ilvl w:val="0"/>
                <w:numId w:val="31"/>
              </w:numPr>
              <w:rPr>
                <w:rFonts w:cstheme="minorHAnsi"/>
                <w:szCs w:val="20"/>
              </w:rPr>
            </w:pPr>
            <w:r w:rsidRPr="00AF7018">
              <w:rPr>
                <w:rFonts w:cstheme="minorHAnsi"/>
                <w:szCs w:val="20"/>
              </w:rPr>
              <w:t>Partner with health care professionals to promote and improve compliance with the Requirements and Guidelines for Childhood Lead Screening adopted in April 2013, including ensuring that all children are tested at least annually before turning three years of age.</w:t>
            </w:r>
          </w:p>
          <w:p w14:paraId="2EE41AE1" w14:textId="521BB50B" w:rsidR="00B85313" w:rsidRPr="00AF7018" w:rsidRDefault="00B85313" w:rsidP="004A783D">
            <w:pPr>
              <w:pStyle w:val="Table-ActionSteps"/>
              <w:numPr>
                <w:ilvl w:val="0"/>
                <w:numId w:val="0"/>
              </w:numPr>
              <w:ind w:left="360"/>
              <w:rPr>
                <w:rFonts w:cstheme="minorHAnsi"/>
                <w:b/>
                <w:szCs w:val="20"/>
              </w:rPr>
            </w:pPr>
            <w:r w:rsidRPr="00AF7018">
              <w:rPr>
                <w:rFonts w:cstheme="minorHAnsi"/>
                <w:b/>
                <w:szCs w:val="20"/>
              </w:rPr>
              <w:t>Ongoing</w:t>
            </w:r>
          </w:p>
        </w:tc>
        <w:tc>
          <w:tcPr>
            <w:tcW w:w="4950"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7FE8054C" w14:textId="3A344DFA" w:rsidR="00B85313" w:rsidRPr="00AF7018" w:rsidRDefault="00B85313" w:rsidP="00976C27">
            <w:pPr>
              <w:spacing w:after="160" w:line="259" w:lineRule="auto"/>
              <w:jc w:val="center"/>
              <w:rPr>
                <w:rFonts w:cstheme="minorHAnsi"/>
                <w:sz w:val="20"/>
                <w:szCs w:val="20"/>
              </w:rPr>
            </w:pPr>
            <w:r w:rsidRPr="00AF7018">
              <w:rPr>
                <w:rFonts w:cstheme="minorHAnsi"/>
                <w:sz w:val="20"/>
                <w:szCs w:val="20"/>
              </w:rPr>
              <w:t>DPH, RLTCs, CT AAP</w:t>
            </w:r>
          </w:p>
        </w:tc>
      </w:tr>
      <w:tr w:rsidR="00B85313" w:rsidRPr="00AF7018" w14:paraId="7FFF15BB" w14:textId="77777777" w:rsidTr="0046188F">
        <w:tc>
          <w:tcPr>
            <w:tcW w:w="3597" w:type="dxa"/>
            <w:vMerge/>
          </w:tcPr>
          <w:p w14:paraId="23FAA188" w14:textId="77777777" w:rsidR="00B85313" w:rsidRPr="00AF7018" w:rsidRDefault="00B85313" w:rsidP="004A783D">
            <w:pPr>
              <w:spacing w:after="160" w:line="259" w:lineRule="auto"/>
              <w:rPr>
                <w:rFonts w:cstheme="minorHAnsi"/>
                <w:sz w:val="20"/>
                <w:szCs w:val="20"/>
              </w:rPr>
            </w:pPr>
          </w:p>
        </w:tc>
        <w:tc>
          <w:tcPr>
            <w:tcW w:w="5848" w:type="dxa"/>
            <w:tcBorders>
              <w:top w:val="single" w:sz="8" w:space="0" w:color="000000" w:themeColor="text1"/>
              <w:left w:val="single" w:sz="4" w:space="0" w:color="auto"/>
              <w:right w:val="single" w:sz="8" w:space="0" w:color="000000" w:themeColor="text1"/>
            </w:tcBorders>
            <w:shd w:val="clear" w:color="auto" w:fill="auto"/>
          </w:tcPr>
          <w:p w14:paraId="07B01F40" w14:textId="77777777" w:rsidR="00B85313" w:rsidRDefault="00B85313" w:rsidP="00AF7018">
            <w:pPr>
              <w:pStyle w:val="Table-ActionSteps"/>
              <w:numPr>
                <w:ilvl w:val="0"/>
                <w:numId w:val="31"/>
              </w:numPr>
              <w:rPr>
                <w:rFonts w:cstheme="minorHAnsi"/>
                <w:szCs w:val="20"/>
              </w:rPr>
            </w:pPr>
            <w:r w:rsidRPr="00AF7018">
              <w:rPr>
                <w:rFonts w:cstheme="minorHAnsi"/>
                <w:szCs w:val="20"/>
              </w:rPr>
              <w:t>Train DCF Foster Care Regions/ investigators/staff on lead poisoning, defective paint, what to look for, what actions to take if observed by DCF</w:t>
            </w:r>
          </w:p>
          <w:p w14:paraId="3B57C18B" w14:textId="30A8D7C6" w:rsidR="00B85313" w:rsidRPr="00AF7018" w:rsidRDefault="00B85313" w:rsidP="00B85313">
            <w:pPr>
              <w:pStyle w:val="Table-ActionSteps"/>
              <w:numPr>
                <w:ilvl w:val="0"/>
                <w:numId w:val="0"/>
              </w:numPr>
              <w:ind w:left="360"/>
              <w:rPr>
                <w:rFonts w:cstheme="minorHAnsi"/>
                <w:szCs w:val="20"/>
              </w:rPr>
            </w:pPr>
            <w:r w:rsidRPr="00AF7018">
              <w:rPr>
                <w:rFonts w:cstheme="minorHAnsi"/>
                <w:b/>
                <w:szCs w:val="20"/>
              </w:rPr>
              <w:t>Ongoing</w:t>
            </w:r>
          </w:p>
          <w:p w14:paraId="6113B59F" w14:textId="62DB0733" w:rsidR="00B85313" w:rsidRPr="00AF7018" w:rsidRDefault="00B85313" w:rsidP="00226890">
            <w:pPr>
              <w:pStyle w:val="Table-ActionSteps"/>
              <w:numPr>
                <w:ilvl w:val="0"/>
                <w:numId w:val="0"/>
              </w:numPr>
              <w:ind w:left="360" w:hanging="360"/>
              <w:rPr>
                <w:rFonts w:cstheme="minorHAnsi"/>
                <w:szCs w:val="20"/>
              </w:rPr>
            </w:pPr>
          </w:p>
        </w:tc>
        <w:tc>
          <w:tcPr>
            <w:tcW w:w="4950"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34D8255B" w14:textId="77777777" w:rsidR="00B85313" w:rsidRPr="00AF7018" w:rsidRDefault="00B85313" w:rsidP="0046188F">
            <w:pPr>
              <w:pStyle w:val="Table-Progress"/>
              <w:rPr>
                <w:rFonts w:cstheme="minorHAnsi"/>
                <w:szCs w:val="20"/>
              </w:rPr>
            </w:pPr>
            <w:r w:rsidRPr="00AF7018">
              <w:rPr>
                <w:rFonts w:cstheme="minorHAnsi"/>
                <w:szCs w:val="20"/>
              </w:rPr>
              <w:t>DPH, DCF Training Academy</w:t>
            </w:r>
          </w:p>
          <w:p w14:paraId="4C2B7F16" w14:textId="03A039DA" w:rsidR="00B85313" w:rsidRPr="00AF7018" w:rsidRDefault="00B85313" w:rsidP="00976C27">
            <w:pPr>
              <w:spacing w:after="160" w:line="259" w:lineRule="auto"/>
              <w:jc w:val="center"/>
              <w:rPr>
                <w:rFonts w:cstheme="minorHAnsi"/>
                <w:sz w:val="20"/>
                <w:szCs w:val="20"/>
              </w:rPr>
            </w:pPr>
          </w:p>
        </w:tc>
      </w:tr>
      <w:tr w:rsidR="00B85313" w:rsidRPr="00AF7018" w14:paraId="1A8BF0EF" w14:textId="77777777" w:rsidTr="0046188F">
        <w:tc>
          <w:tcPr>
            <w:tcW w:w="3597" w:type="dxa"/>
            <w:vMerge/>
          </w:tcPr>
          <w:p w14:paraId="3611781A" w14:textId="77777777" w:rsidR="00B85313" w:rsidRPr="00AF7018" w:rsidRDefault="00B85313" w:rsidP="004A783D">
            <w:pPr>
              <w:spacing w:after="160" w:line="259" w:lineRule="auto"/>
              <w:rPr>
                <w:rFonts w:cstheme="minorHAnsi"/>
                <w:sz w:val="20"/>
                <w:szCs w:val="20"/>
              </w:rPr>
            </w:pPr>
          </w:p>
        </w:tc>
        <w:tc>
          <w:tcPr>
            <w:tcW w:w="5848" w:type="dxa"/>
            <w:tcBorders>
              <w:top w:val="single" w:sz="8" w:space="0" w:color="000000" w:themeColor="text1"/>
              <w:left w:val="single" w:sz="4" w:space="0" w:color="auto"/>
              <w:right w:val="single" w:sz="8" w:space="0" w:color="000000" w:themeColor="text1"/>
            </w:tcBorders>
            <w:shd w:val="clear" w:color="auto" w:fill="auto"/>
          </w:tcPr>
          <w:p w14:paraId="586A9E72" w14:textId="77777777" w:rsidR="00B85313" w:rsidRDefault="00B85313" w:rsidP="00AF7018">
            <w:pPr>
              <w:pStyle w:val="Table-ActionSteps"/>
              <w:numPr>
                <w:ilvl w:val="0"/>
                <w:numId w:val="31"/>
              </w:numPr>
              <w:rPr>
                <w:rFonts w:cstheme="minorHAnsi"/>
                <w:szCs w:val="20"/>
              </w:rPr>
            </w:pPr>
            <w:r w:rsidRPr="00AF7018">
              <w:rPr>
                <w:rFonts w:cstheme="minorHAnsi"/>
                <w:szCs w:val="20"/>
              </w:rPr>
              <w:t>The R</w:t>
            </w:r>
            <w:r>
              <w:rPr>
                <w:rFonts w:cstheme="minorHAnsi"/>
                <w:szCs w:val="20"/>
              </w:rPr>
              <w:t>LTCs</w:t>
            </w:r>
            <w:r w:rsidRPr="00AF7018">
              <w:rPr>
                <w:rFonts w:cstheme="minorHAnsi"/>
                <w:szCs w:val="20"/>
              </w:rPr>
              <w:t xml:space="preserve"> shall educate pediatricians throughout CT on childhood lead poisoning protocols, billing practices and codes, and other relevant topics annually</w:t>
            </w:r>
          </w:p>
          <w:p w14:paraId="573947B3" w14:textId="0D4D5B40" w:rsidR="00B85313" w:rsidRPr="00AF7018" w:rsidRDefault="00B85313" w:rsidP="00B85313">
            <w:pPr>
              <w:pStyle w:val="Table-ActionSteps"/>
              <w:numPr>
                <w:ilvl w:val="0"/>
                <w:numId w:val="0"/>
              </w:numPr>
              <w:ind w:left="360"/>
              <w:rPr>
                <w:rFonts w:cstheme="minorHAnsi"/>
                <w:szCs w:val="20"/>
              </w:rPr>
            </w:pPr>
            <w:r w:rsidRPr="00AF7018">
              <w:rPr>
                <w:rFonts w:cstheme="minorHAnsi"/>
                <w:b/>
                <w:szCs w:val="20"/>
              </w:rPr>
              <w:t>Ongoing</w:t>
            </w:r>
          </w:p>
        </w:tc>
        <w:tc>
          <w:tcPr>
            <w:tcW w:w="4950"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4B807817" w14:textId="631DE0A2" w:rsidR="00B85313" w:rsidRPr="00AF7018" w:rsidRDefault="00B85313" w:rsidP="00976C27">
            <w:pPr>
              <w:spacing w:after="160" w:line="259" w:lineRule="auto"/>
              <w:jc w:val="center"/>
              <w:rPr>
                <w:rFonts w:cstheme="minorHAnsi"/>
                <w:sz w:val="20"/>
                <w:szCs w:val="20"/>
              </w:rPr>
            </w:pPr>
            <w:r w:rsidRPr="00AF7018">
              <w:rPr>
                <w:rFonts w:cstheme="minorHAnsi"/>
                <w:sz w:val="20"/>
                <w:szCs w:val="20"/>
              </w:rPr>
              <w:t>RLTCs, DPH, pediatricians, CT-AAP</w:t>
            </w:r>
          </w:p>
        </w:tc>
      </w:tr>
      <w:tr w:rsidR="00B85313" w:rsidRPr="00AF7018" w14:paraId="27061094" w14:textId="77777777" w:rsidTr="00C34F3C">
        <w:tc>
          <w:tcPr>
            <w:tcW w:w="3597" w:type="dxa"/>
            <w:vMerge/>
          </w:tcPr>
          <w:p w14:paraId="3309A3E1" w14:textId="77777777" w:rsidR="00B85313" w:rsidRPr="00AF7018" w:rsidRDefault="00B85313" w:rsidP="004A783D">
            <w:pPr>
              <w:spacing w:after="160" w:line="259" w:lineRule="auto"/>
              <w:rPr>
                <w:rFonts w:cstheme="minorHAnsi"/>
                <w:sz w:val="20"/>
                <w:szCs w:val="20"/>
              </w:rPr>
            </w:pP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42947924" w14:textId="77777777" w:rsidR="00B85313" w:rsidRDefault="00B85313" w:rsidP="00AF7018">
            <w:pPr>
              <w:pStyle w:val="ListParagraph"/>
              <w:numPr>
                <w:ilvl w:val="0"/>
                <w:numId w:val="31"/>
              </w:numPr>
              <w:rPr>
                <w:rFonts w:cstheme="minorHAnsi"/>
                <w:sz w:val="20"/>
                <w:szCs w:val="20"/>
              </w:rPr>
            </w:pPr>
            <w:r w:rsidRPr="00AF7018">
              <w:rPr>
                <w:rFonts w:cstheme="minorHAnsi"/>
                <w:sz w:val="20"/>
                <w:szCs w:val="20"/>
              </w:rPr>
              <w:t>OEC to send violation letters to child care operators/providers, sent after a toxic level of lead in paint or a lead hazard (e.g. lead in dust or soil) has been identified, in accordance with established written protocol</w:t>
            </w:r>
          </w:p>
          <w:p w14:paraId="13E0C62F" w14:textId="046E177D" w:rsidR="00B85313" w:rsidRPr="00AF7018" w:rsidRDefault="00B85313" w:rsidP="00AF7018">
            <w:pPr>
              <w:pStyle w:val="ListParagraph"/>
              <w:ind w:left="360"/>
              <w:rPr>
                <w:rFonts w:cstheme="minorHAnsi"/>
                <w:sz w:val="20"/>
                <w:szCs w:val="20"/>
              </w:rPr>
            </w:pPr>
            <w:r w:rsidRPr="00AF7018">
              <w:rPr>
                <w:rFonts w:cstheme="minorHAnsi"/>
                <w:b/>
                <w:sz w:val="20"/>
                <w:szCs w:val="20"/>
              </w:rPr>
              <w:t>Ongoing</w:t>
            </w:r>
          </w:p>
        </w:tc>
        <w:tc>
          <w:tcPr>
            <w:tcW w:w="495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311FAB94" w14:textId="7EE1EDCF" w:rsidR="00B85313" w:rsidRPr="00AF7018" w:rsidRDefault="00B85313" w:rsidP="0046188F">
            <w:pPr>
              <w:pStyle w:val="Table-Progress"/>
              <w:rPr>
                <w:rFonts w:cstheme="minorHAnsi"/>
                <w:szCs w:val="20"/>
              </w:rPr>
            </w:pPr>
            <w:r w:rsidRPr="00AF7018">
              <w:rPr>
                <w:rFonts w:cstheme="minorHAnsi"/>
                <w:szCs w:val="20"/>
              </w:rPr>
              <w:t>OEC</w:t>
            </w:r>
          </w:p>
        </w:tc>
      </w:tr>
      <w:tr w:rsidR="00B85313" w:rsidRPr="00AF7018" w14:paraId="49A4D577" w14:textId="77777777" w:rsidTr="00EE06AF">
        <w:tc>
          <w:tcPr>
            <w:tcW w:w="3597" w:type="dxa"/>
            <w:vMerge w:val="restart"/>
          </w:tcPr>
          <w:p w14:paraId="53966506" w14:textId="77777777" w:rsidR="00B85313" w:rsidRPr="00AF7018" w:rsidRDefault="00B85313" w:rsidP="004A783D">
            <w:pPr>
              <w:spacing w:after="160" w:line="259" w:lineRule="auto"/>
              <w:rPr>
                <w:rFonts w:cstheme="minorHAnsi"/>
                <w:b/>
                <w:sz w:val="20"/>
                <w:szCs w:val="20"/>
              </w:rPr>
            </w:pPr>
            <w:r w:rsidRPr="00AF7018">
              <w:rPr>
                <w:rFonts w:cstheme="minorHAnsi"/>
                <w:b/>
                <w:sz w:val="20"/>
                <w:szCs w:val="20"/>
              </w:rPr>
              <w:t>Promote environmental assessments (inspections and risk assessments) to identify and mitigate lead hazards in homes before children demonstrate BLLs above the reference value.</w:t>
            </w:r>
          </w:p>
          <w:p w14:paraId="45C248CD" w14:textId="77777777" w:rsidR="00B85313" w:rsidRPr="00AF7018" w:rsidRDefault="00B85313" w:rsidP="004A783D">
            <w:pPr>
              <w:spacing w:after="160" w:line="259" w:lineRule="auto"/>
              <w:rPr>
                <w:rFonts w:cstheme="minorHAnsi"/>
                <w:sz w:val="20"/>
                <w:szCs w:val="20"/>
              </w:rPr>
            </w:pP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1D217FAE" w14:textId="77777777" w:rsidR="00B85313" w:rsidRPr="00AF7018" w:rsidRDefault="00B85313" w:rsidP="00226890">
            <w:pPr>
              <w:pStyle w:val="Table-ActionSteps"/>
              <w:numPr>
                <w:ilvl w:val="1"/>
                <w:numId w:val="19"/>
              </w:numPr>
              <w:ind w:left="340" w:hanging="340"/>
              <w:rPr>
                <w:rFonts w:cstheme="minorHAnsi"/>
                <w:szCs w:val="20"/>
              </w:rPr>
            </w:pPr>
            <w:r w:rsidRPr="00AF7018">
              <w:rPr>
                <w:rFonts w:cstheme="minorHAnsi"/>
                <w:szCs w:val="20"/>
              </w:rPr>
              <w:t>Ensure that child care specialists implement the established written protocol</w:t>
            </w:r>
          </w:p>
          <w:p w14:paraId="496FC28E" w14:textId="292BF168" w:rsidR="00B85313" w:rsidRPr="00AF7018" w:rsidRDefault="00B85313" w:rsidP="004A783D">
            <w:pPr>
              <w:spacing w:after="160" w:line="259" w:lineRule="auto"/>
              <w:rPr>
                <w:rFonts w:cstheme="minorHAnsi"/>
                <w:sz w:val="20"/>
                <w:szCs w:val="20"/>
              </w:rPr>
            </w:pPr>
            <w:r w:rsidRPr="00AF7018">
              <w:rPr>
                <w:rFonts w:cstheme="minorHAnsi"/>
                <w:b/>
                <w:sz w:val="20"/>
                <w:szCs w:val="20"/>
              </w:rPr>
              <w:t xml:space="preserve">       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879282" w14:textId="4106293C" w:rsidR="00B85313" w:rsidRPr="00AF7018" w:rsidRDefault="00B85313" w:rsidP="00976C27">
            <w:pPr>
              <w:spacing w:after="160" w:line="259" w:lineRule="auto"/>
              <w:jc w:val="center"/>
              <w:rPr>
                <w:rFonts w:cstheme="minorHAnsi"/>
                <w:sz w:val="20"/>
                <w:szCs w:val="20"/>
              </w:rPr>
            </w:pPr>
            <w:r w:rsidRPr="00AF7018">
              <w:rPr>
                <w:rFonts w:cstheme="minorHAnsi"/>
                <w:sz w:val="20"/>
                <w:szCs w:val="20"/>
              </w:rPr>
              <w:t>OEC</w:t>
            </w:r>
          </w:p>
        </w:tc>
      </w:tr>
      <w:tr w:rsidR="00B85313" w:rsidRPr="00AF7018" w14:paraId="26FEFE57" w14:textId="77777777" w:rsidTr="0046188F">
        <w:tc>
          <w:tcPr>
            <w:tcW w:w="3597" w:type="dxa"/>
            <w:vMerge/>
          </w:tcPr>
          <w:p w14:paraId="73AD1884" w14:textId="77777777" w:rsidR="00B85313" w:rsidRPr="00AF7018" w:rsidRDefault="00B85313" w:rsidP="004A783D">
            <w:pPr>
              <w:spacing w:after="160" w:line="259" w:lineRule="auto"/>
              <w:rPr>
                <w:rFonts w:cstheme="minorHAnsi"/>
                <w:sz w:val="20"/>
                <w:szCs w:val="20"/>
              </w:rPr>
            </w:pP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3D7A92CD" w14:textId="77777777" w:rsidR="00B85313" w:rsidRPr="00AF7018" w:rsidRDefault="00B85313" w:rsidP="00B85313">
            <w:pPr>
              <w:pStyle w:val="Table-ActionSteps"/>
              <w:numPr>
                <w:ilvl w:val="1"/>
                <w:numId w:val="19"/>
              </w:numPr>
              <w:ind w:left="340" w:hanging="340"/>
              <w:rPr>
                <w:rFonts w:cstheme="minorHAnsi"/>
                <w:szCs w:val="20"/>
              </w:rPr>
            </w:pPr>
            <w:r w:rsidRPr="00AF7018">
              <w:rPr>
                <w:rFonts w:cstheme="minorHAnsi"/>
                <w:szCs w:val="20"/>
              </w:rPr>
              <w:t xml:space="preserve">Ensure that child care operators/providers are following up with identified lead issues in a timely manner </w:t>
            </w:r>
          </w:p>
          <w:p w14:paraId="52927F7B" w14:textId="35FD912A" w:rsidR="00B85313" w:rsidRPr="00AF7018" w:rsidRDefault="00B85313" w:rsidP="00AF7018">
            <w:pPr>
              <w:spacing w:after="160" w:line="259" w:lineRule="auto"/>
              <w:rPr>
                <w:rFonts w:cstheme="minorHAnsi"/>
                <w:sz w:val="20"/>
                <w:szCs w:val="20"/>
              </w:rPr>
            </w:pPr>
            <w:r w:rsidRPr="00AF7018">
              <w:rPr>
                <w:rFonts w:cstheme="minorHAnsi"/>
                <w:b/>
                <w:bCs/>
                <w:sz w:val="20"/>
                <w:szCs w:val="20"/>
              </w:rPr>
              <w:t xml:space="preserve">       </w:t>
            </w:r>
            <w:r w:rsidRPr="00AF7018">
              <w:rPr>
                <w:rFonts w:cstheme="minorHAnsi"/>
                <w:b/>
                <w:sz w:val="20"/>
                <w:szCs w:val="20"/>
              </w:rPr>
              <w:t xml:space="preserve"> Ongoing</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317184" w14:textId="6075B242" w:rsidR="00B85313" w:rsidRPr="00AF7018" w:rsidRDefault="00B85313" w:rsidP="00976C27">
            <w:pPr>
              <w:spacing w:after="160" w:line="259" w:lineRule="auto"/>
              <w:jc w:val="center"/>
              <w:rPr>
                <w:rFonts w:cstheme="minorHAnsi"/>
                <w:sz w:val="20"/>
                <w:szCs w:val="20"/>
              </w:rPr>
            </w:pPr>
            <w:r w:rsidRPr="00AF7018">
              <w:rPr>
                <w:rFonts w:cstheme="minorHAnsi"/>
                <w:sz w:val="20"/>
                <w:szCs w:val="20"/>
              </w:rPr>
              <w:t>OEC</w:t>
            </w:r>
          </w:p>
        </w:tc>
      </w:tr>
      <w:tr w:rsidR="00B85313" w:rsidRPr="00AF7018" w14:paraId="2AEF1057" w14:textId="77777777" w:rsidTr="0046188F">
        <w:trPr>
          <w:trHeight w:val="1947"/>
        </w:trPr>
        <w:tc>
          <w:tcPr>
            <w:tcW w:w="3597" w:type="dxa"/>
            <w:vMerge/>
          </w:tcPr>
          <w:p w14:paraId="19126353" w14:textId="77777777" w:rsidR="00B85313" w:rsidRPr="00AF7018" w:rsidRDefault="00B85313" w:rsidP="004A783D">
            <w:pPr>
              <w:spacing w:after="160" w:line="259" w:lineRule="auto"/>
              <w:rPr>
                <w:rFonts w:cstheme="minorHAnsi"/>
                <w:sz w:val="20"/>
                <w:szCs w:val="20"/>
              </w:rPr>
            </w:pPr>
          </w:p>
        </w:tc>
        <w:tc>
          <w:tcPr>
            <w:tcW w:w="5848"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Pr>
          <w:p w14:paraId="09C7DDFC" w14:textId="77777777" w:rsidR="00B85313" w:rsidRDefault="00B85313" w:rsidP="00B85313">
            <w:pPr>
              <w:rPr>
                <w:sz w:val="20"/>
              </w:rPr>
            </w:pPr>
            <w:r>
              <w:rPr>
                <w:sz w:val="20"/>
              </w:rPr>
              <w:t>c.     P</w:t>
            </w:r>
            <w:r w:rsidRPr="00B85313">
              <w:rPr>
                <w:sz w:val="20"/>
              </w:rPr>
              <w:t xml:space="preserve">romote collaboration between DPH, LHDs, PHAs and state </w:t>
            </w:r>
          </w:p>
          <w:p w14:paraId="5BC09630" w14:textId="614ED169" w:rsidR="00B85313" w:rsidRPr="00B85313" w:rsidRDefault="00B85313" w:rsidP="00B85313">
            <w:pPr>
              <w:rPr>
                <w:sz w:val="20"/>
              </w:rPr>
            </w:pPr>
            <w:r>
              <w:rPr>
                <w:sz w:val="20"/>
              </w:rPr>
              <w:t xml:space="preserve">        </w:t>
            </w:r>
            <w:r w:rsidRPr="00B85313">
              <w:rPr>
                <w:sz w:val="20"/>
              </w:rPr>
              <w:t>housing</w:t>
            </w:r>
            <w:r>
              <w:rPr>
                <w:sz w:val="20"/>
              </w:rPr>
              <w:t xml:space="preserve"> </w:t>
            </w:r>
            <w:r w:rsidRPr="00B85313">
              <w:rPr>
                <w:sz w:val="20"/>
              </w:rPr>
              <w:t>agencies with regard to available data</w:t>
            </w:r>
          </w:p>
          <w:p w14:paraId="0CC52A58" w14:textId="27C496EB" w:rsidR="00B85313" w:rsidRPr="00B85313" w:rsidRDefault="00B85313" w:rsidP="00B85313">
            <w:pPr>
              <w:rPr>
                <w:sz w:val="20"/>
              </w:rPr>
            </w:pPr>
            <w:r>
              <w:rPr>
                <w:b/>
                <w:bCs/>
                <w:sz w:val="20"/>
              </w:rPr>
              <w:t xml:space="preserve">        </w:t>
            </w:r>
            <w:r w:rsidRPr="00B85313">
              <w:rPr>
                <w:b/>
                <w:bCs/>
                <w:sz w:val="20"/>
              </w:rPr>
              <w:t>Ongoing</w:t>
            </w:r>
          </w:p>
          <w:p w14:paraId="71792364" w14:textId="20EA8E65" w:rsidR="00B85313" w:rsidRPr="00AF7018" w:rsidRDefault="00B85313" w:rsidP="004A783D">
            <w:pPr>
              <w:spacing w:after="160" w:line="259" w:lineRule="auto"/>
              <w:rPr>
                <w:rFonts w:cstheme="minorHAnsi"/>
                <w:sz w:val="20"/>
                <w:szCs w:val="20"/>
              </w:rPr>
            </w:pP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4FB507" w14:textId="41F3673A" w:rsidR="00B85313" w:rsidRPr="00AF7018" w:rsidRDefault="00B85313" w:rsidP="00976C27">
            <w:pPr>
              <w:spacing w:after="160" w:line="259" w:lineRule="auto"/>
              <w:jc w:val="center"/>
              <w:rPr>
                <w:rFonts w:cstheme="minorHAnsi"/>
                <w:sz w:val="20"/>
                <w:szCs w:val="20"/>
              </w:rPr>
            </w:pPr>
            <w:r w:rsidRPr="00AF7018">
              <w:rPr>
                <w:rFonts w:cstheme="minorHAnsi"/>
                <w:sz w:val="20"/>
                <w:szCs w:val="20"/>
              </w:rPr>
              <w:t>DOH, local PHAs, CONN-NAHRO, DPH, LHDs</w:t>
            </w:r>
          </w:p>
        </w:tc>
      </w:tr>
      <w:tr w:rsidR="00AF7018" w:rsidRPr="00AF7018" w14:paraId="58F6B85B" w14:textId="77777777" w:rsidTr="00C34F3C">
        <w:trPr>
          <w:trHeight w:val="1947"/>
        </w:trPr>
        <w:tc>
          <w:tcPr>
            <w:tcW w:w="3597" w:type="dxa"/>
          </w:tcPr>
          <w:p w14:paraId="4C0A318E" w14:textId="2AD5E0F1" w:rsidR="00AF7018" w:rsidRPr="00AF7018" w:rsidRDefault="00AF7018" w:rsidP="004A783D">
            <w:pPr>
              <w:spacing w:after="160" w:line="259" w:lineRule="auto"/>
              <w:rPr>
                <w:rFonts w:cstheme="minorHAnsi"/>
                <w:b/>
                <w:sz w:val="20"/>
                <w:szCs w:val="20"/>
              </w:rPr>
            </w:pPr>
            <w:r w:rsidRPr="00AF7018">
              <w:rPr>
                <w:rFonts w:cstheme="minorHAnsi"/>
                <w:b/>
                <w:sz w:val="20"/>
                <w:szCs w:val="20"/>
              </w:rPr>
              <w:lastRenderedPageBreak/>
              <w:t>Encourage local, state, and other federal agencies to facilitate data-sharing between health and housing agencies and ensure lead data is shared in a timely manner.</w:t>
            </w:r>
          </w:p>
        </w:tc>
        <w:tc>
          <w:tcPr>
            <w:tcW w:w="5848" w:type="dxa"/>
            <w:tcBorders>
              <w:top w:val="single" w:sz="8" w:space="0" w:color="000000" w:themeColor="text1"/>
              <w:left w:val="single" w:sz="4" w:space="0" w:color="auto"/>
              <w:right w:val="single" w:sz="8" w:space="0" w:color="000000" w:themeColor="text1"/>
            </w:tcBorders>
            <w:shd w:val="clear" w:color="auto" w:fill="auto"/>
          </w:tcPr>
          <w:p w14:paraId="02F63BED" w14:textId="77777777" w:rsidR="00AF7018" w:rsidRPr="00AF7018" w:rsidRDefault="00AF7018" w:rsidP="001962B9">
            <w:pPr>
              <w:pStyle w:val="Table-ActionSteps"/>
              <w:numPr>
                <w:ilvl w:val="0"/>
                <w:numId w:val="29"/>
              </w:numPr>
              <w:rPr>
                <w:rFonts w:cstheme="minorHAnsi"/>
                <w:szCs w:val="20"/>
              </w:rPr>
            </w:pPr>
            <w:r w:rsidRPr="00AF7018">
              <w:rPr>
                <w:rFonts w:cstheme="minorHAnsi"/>
                <w:szCs w:val="20"/>
              </w:rPr>
              <w:t>Clearly articulate and document lead safe requirements established between OEC and DPH for licensing specialists</w:t>
            </w:r>
          </w:p>
          <w:p w14:paraId="3B65B14A" w14:textId="77777777" w:rsidR="00AF7018" w:rsidRPr="00AF7018" w:rsidRDefault="00AF7018" w:rsidP="001962B9">
            <w:pPr>
              <w:pStyle w:val="Table-ActionSteps"/>
              <w:numPr>
                <w:ilvl w:val="0"/>
                <w:numId w:val="0"/>
              </w:numPr>
              <w:ind w:left="360"/>
              <w:rPr>
                <w:rFonts w:cstheme="minorHAnsi"/>
                <w:b/>
                <w:szCs w:val="20"/>
              </w:rPr>
            </w:pPr>
            <w:r w:rsidRPr="00AF7018">
              <w:rPr>
                <w:rFonts w:cstheme="minorHAnsi"/>
                <w:b/>
                <w:szCs w:val="20"/>
              </w:rPr>
              <w:t>Ongoing</w:t>
            </w:r>
          </w:p>
          <w:p w14:paraId="3E1C04D4" w14:textId="77777777" w:rsidR="00AF7018" w:rsidRPr="00AF7018" w:rsidRDefault="00AF7018" w:rsidP="00976C27">
            <w:pPr>
              <w:pStyle w:val="Table-ActionSteps"/>
              <w:numPr>
                <w:ilvl w:val="0"/>
                <w:numId w:val="0"/>
              </w:numPr>
              <w:ind w:left="340"/>
              <w:rPr>
                <w:rFonts w:cstheme="minorHAnsi"/>
                <w:szCs w:val="20"/>
              </w:rPr>
            </w:pPr>
          </w:p>
        </w:tc>
        <w:tc>
          <w:tcPr>
            <w:tcW w:w="4950" w:type="dxa"/>
            <w:tcBorders>
              <w:top w:val="single" w:sz="8" w:space="0" w:color="000000" w:themeColor="text1"/>
              <w:left w:val="single" w:sz="8" w:space="0" w:color="000000" w:themeColor="text1"/>
              <w:right w:val="single" w:sz="8" w:space="0" w:color="000000" w:themeColor="text1"/>
            </w:tcBorders>
            <w:shd w:val="clear" w:color="auto" w:fill="auto"/>
          </w:tcPr>
          <w:p w14:paraId="53F2169A" w14:textId="77DF663D" w:rsidR="00AF7018" w:rsidRPr="00AF7018" w:rsidRDefault="00AF7018" w:rsidP="00976C27">
            <w:pPr>
              <w:spacing w:after="160" w:line="259" w:lineRule="auto"/>
              <w:jc w:val="center"/>
              <w:rPr>
                <w:rFonts w:cstheme="minorHAnsi"/>
                <w:sz w:val="20"/>
                <w:szCs w:val="20"/>
              </w:rPr>
            </w:pPr>
            <w:r w:rsidRPr="00AF7018">
              <w:rPr>
                <w:rFonts w:cstheme="minorHAnsi"/>
                <w:sz w:val="20"/>
                <w:szCs w:val="20"/>
              </w:rPr>
              <w:t>OEC/DPH</w:t>
            </w:r>
          </w:p>
        </w:tc>
      </w:tr>
    </w:tbl>
    <w:p w14:paraId="69C5CA43" w14:textId="6E7DD3C6" w:rsidR="00AF184A" w:rsidRDefault="00AF184A" w:rsidP="00B96418">
      <w:pPr>
        <w:spacing w:after="160" w:line="259" w:lineRule="auto"/>
      </w:pPr>
    </w:p>
    <w:sectPr w:rsidR="00AF184A" w:rsidSect="00783971">
      <w:headerReference w:type="default"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37B92" w14:textId="77777777" w:rsidR="004E388F" w:rsidRDefault="004E388F" w:rsidP="00AF184A">
      <w:r>
        <w:separator/>
      </w:r>
    </w:p>
  </w:endnote>
  <w:endnote w:type="continuationSeparator" w:id="0">
    <w:p w14:paraId="46A444A7" w14:textId="77777777" w:rsidR="004E388F" w:rsidRDefault="004E388F" w:rsidP="00AF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14:paraId="71B00227" w14:textId="40D49A07" w:rsidR="00286C5C" w:rsidRPr="00783971" w:rsidRDefault="00286C5C" w:rsidP="00783971">
        <w:pPr>
          <w:tabs>
            <w:tab w:val="right" w:pos="14400"/>
          </w:tabs>
        </w:pPr>
        <w:r w:rsidRPr="00DA2A10">
          <w:t>HCT2020</w:t>
        </w:r>
        <w:r>
          <w:t xml:space="preserve"> Year </w:t>
        </w:r>
        <w:r w:rsidR="00B12C2E">
          <w:t>3</w:t>
        </w:r>
        <w:r>
          <w:t xml:space="preserve">:  </w:t>
        </w:r>
        <w:r w:rsidRPr="00DA2A10">
          <w:t xml:space="preserve"> Environmental Risk Factors and Health </w:t>
        </w:r>
        <w:r>
          <w:t>201</w:t>
        </w:r>
        <w:r w:rsidR="00D80DBB">
          <w:t>8</w:t>
        </w:r>
        <w:r w:rsidRPr="00DA2A10">
          <w:t xml:space="preserve"> Action Agenda</w:t>
        </w:r>
        <w:r>
          <w:tab/>
          <w:t xml:space="preserve">Page </w:t>
        </w:r>
        <w:r>
          <w:fldChar w:fldCharType="begin"/>
        </w:r>
        <w:r>
          <w:instrText xml:space="preserve"> PAGE </w:instrText>
        </w:r>
        <w:r>
          <w:fldChar w:fldCharType="separate"/>
        </w:r>
        <w:r w:rsidR="00225CED">
          <w:rPr>
            <w:noProof/>
          </w:rPr>
          <w:t>2</w:t>
        </w:r>
        <w:r>
          <w:rPr>
            <w:noProof/>
          </w:rPr>
          <w:fldChar w:fldCharType="end"/>
        </w:r>
        <w:r>
          <w:t xml:space="preserve"> of </w:t>
        </w:r>
        <w:r w:rsidR="004E388F">
          <w:fldChar w:fldCharType="begin"/>
        </w:r>
        <w:r w:rsidR="004E388F">
          <w:instrText xml:space="preserve"> NUMPAGES  </w:instrText>
        </w:r>
        <w:r w:rsidR="004E388F">
          <w:fldChar w:fldCharType="separate"/>
        </w:r>
        <w:r w:rsidR="00225CED">
          <w:rPr>
            <w:noProof/>
          </w:rPr>
          <w:t>10</w:t>
        </w:r>
        <w:r w:rsidR="004E388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96455"/>
      <w:docPartObj>
        <w:docPartGallery w:val="Page Numbers (Top of Page)"/>
        <w:docPartUnique/>
      </w:docPartObj>
    </w:sdtPr>
    <w:sdtEndPr/>
    <w:sdtContent>
      <w:p w14:paraId="544C22DC" w14:textId="26110FBB" w:rsidR="00286C5C" w:rsidRDefault="00286C5C">
        <w:pPr>
          <w:pStyle w:val="Footer"/>
        </w:pPr>
        <w:r w:rsidRPr="00DA2A10">
          <w:t>HCT2020</w:t>
        </w:r>
        <w:r>
          <w:t xml:space="preserve"> Year 3:  </w:t>
        </w:r>
        <w:r w:rsidRPr="00DA2A10">
          <w:t xml:space="preserve"> Environmental Risk Factors and Health </w:t>
        </w:r>
        <w:r>
          <w:t>2018</w:t>
        </w:r>
        <w:r w:rsidRPr="00DA2A10">
          <w:t xml:space="preserve"> Action Agenda</w:t>
        </w:r>
        <w:r>
          <w:tab/>
          <w:t xml:space="preserve">Page </w:t>
        </w:r>
        <w:r>
          <w:fldChar w:fldCharType="begin"/>
        </w:r>
        <w:r>
          <w:instrText xml:space="preserve"> PAGE </w:instrText>
        </w:r>
        <w:r>
          <w:fldChar w:fldCharType="separate"/>
        </w:r>
        <w:r w:rsidR="00B96418">
          <w:rPr>
            <w:noProof/>
          </w:rPr>
          <w:t>1</w:t>
        </w:r>
        <w:r>
          <w:rPr>
            <w:noProof/>
          </w:rPr>
          <w:fldChar w:fldCharType="end"/>
        </w:r>
        <w:r>
          <w:t xml:space="preserve"> of </w:t>
        </w:r>
        <w:r w:rsidR="004E388F">
          <w:fldChar w:fldCharType="begin"/>
        </w:r>
        <w:r w:rsidR="004E388F">
          <w:instrText xml:space="preserve"> NUMPAGES  </w:instrText>
        </w:r>
        <w:r w:rsidR="004E388F">
          <w:fldChar w:fldCharType="separate"/>
        </w:r>
        <w:r w:rsidR="00D80DBB">
          <w:rPr>
            <w:noProof/>
          </w:rPr>
          <w:t>8</w:t>
        </w:r>
        <w:r w:rsidR="004E388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DBB3F" w14:textId="77777777" w:rsidR="004E388F" w:rsidRDefault="004E388F" w:rsidP="00AF184A">
      <w:r>
        <w:separator/>
      </w:r>
    </w:p>
  </w:footnote>
  <w:footnote w:type="continuationSeparator" w:id="0">
    <w:p w14:paraId="40528548" w14:textId="77777777" w:rsidR="004E388F" w:rsidRDefault="004E388F" w:rsidP="00AF1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8269" w14:textId="0F35FF3A" w:rsidR="00286C5C" w:rsidRPr="007850E4" w:rsidRDefault="00286C5C" w:rsidP="007850E4">
    <w:pPr>
      <w:tabs>
        <w:tab w:val="center" w:pos="7200"/>
        <w:tab w:val="right" w:pos="14400"/>
      </w:tabs>
      <w:spacing w:after="80"/>
      <w:rPr>
        <w:sz w:val="32"/>
      </w:rPr>
    </w:pPr>
    <w:r>
      <w:rPr>
        <w:noProof/>
        <w:sz w:val="32"/>
      </w:rPr>
      <w:drawing>
        <wp:inline distT="0" distB="0" distL="0" distR="0" wp14:anchorId="565141AC" wp14:editId="065157C7">
          <wp:extent cx="209550" cy="219075"/>
          <wp:effectExtent l="0" t="0" r="0" b="9525"/>
          <wp:docPr id="3" name="Picture 3" descr="cid:image002.png@01D131A5.2671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31A5.267101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szCs w:val="16"/>
      </w:rPr>
      <w:tab/>
    </w:r>
    <w:r w:rsidRPr="00D93DDA">
      <w:t xml:space="preserve">HCT2020 Year </w:t>
    </w:r>
    <w:r w:rsidR="00B12C2E">
      <w:t>3</w:t>
    </w:r>
    <w:r w:rsidRPr="00D93DDA">
      <w:t xml:space="preserve"> Action Agenda</w:t>
    </w:r>
    <w:r>
      <w:rPr>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D0C1" w14:textId="77777777" w:rsidR="00286C5C" w:rsidRPr="007850E4" w:rsidRDefault="00286C5C" w:rsidP="007850E4">
    <w:pPr>
      <w:tabs>
        <w:tab w:val="right" w:pos="14400"/>
      </w:tabs>
      <w:spacing w:after="80"/>
      <w:rPr>
        <w:sz w:val="32"/>
      </w:rPr>
    </w:pPr>
    <w:r>
      <w:rPr>
        <w:noProof/>
      </w:rPr>
      <w:drawing>
        <wp:inline distT="0" distB="0" distL="0" distR="0" wp14:anchorId="79A11D2B" wp14:editId="34E8FD72">
          <wp:extent cx="205740" cy="220436"/>
          <wp:effectExtent l="0" t="0" r="3810" b="8255"/>
          <wp:docPr id="1" name="Picture 1" descr="cid:image002.png@01D131A5.2671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31A5.267101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785" cy="225841"/>
                  </a:xfrm>
                  <a:prstGeom prst="rect">
                    <a:avLst/>
                  </a:prstGeom>
                  <a:noFill/>
                  <a:ln>
                    <a:noFill/>
                  </a:ln>
                </pic:spPr>
              </pic:pic>
            </a:graphicData>
          </a:graphic>
        </wp:inline>
      </w:drawing>
    </w:r>
  </w:p>
  <w:p w14:paraId="273679FF" w14:textId="77777777" w:rsidR="00286C5C" w:rsidRDefault="00286C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55F"/>
    <w:multiLevelType w:val="hybridMultilevel"/>
    <w:tmpl w:val="3938757A"/>
    <w:lvl w:ilvl="0" w:tplc="46F6B2AE">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E5579"/>
    <w:multiLevelType w:val="hybridMultilevel"/>
    <w:tmpl w:val="CC600D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2A081F"/>
    <w:multiLevelType w:val="hybridMultilevel"/>
    <w:tmpl w:val="5C96715A"/>
    <w:lvl w:ilvl="0" w:tplc="E3363740">
      <w:start w:val="1"/>
      <w:numFmt w:val="bullet"/>
      <w:pStyle w:val="FADividerAofCLis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B53222B"/>
    <w:multiLevelType w:val="hybridMultilevel"/>
    <w:tmpl w:val="04AA4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BF295E"/>
    <w:multiLevelType w:val="hybridMultilevel"/>
    <w:tmpl w:val="FCD2C1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DC57AE"/>
    <w:multiLevelType w:val="hybridMultilevel"/>
    <w:tmpl w:val="0D305D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2700C9"/>
    <w:multiLevelType w:val="hybridMultilevel"/>
    <w:tmpl w:val="DCEE1D70"/>
    <w:lvl w:ilvl="0" w:tplc="5B565596">
      <w:start w:val="1"/>
      <w:numFmt w:val="lowerLetter"/>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C22E55"/>
    <w:multiLevelType w:val="hybridMultilevel"/>
    <w:tmpl w:val="7AB6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E3C8D"/>
    <w:multiLevelType w:val="hybridMultilevel"/>
    <w:tmpl w:val="728E1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430B8D"/>
    <w:multiLevelType w:val="hybridMultilevel"/>
    <w:tmpl w:val="00EA7896"/>
    <w:lvl w:ilvl="0" w:tplc="A22877B6">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07C43"/>
    <w:multiLevelType w:val="hybridMultilevel"/>
    <w:tmpl w:val="87681E10"/>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F572A2"/>
    <w:multiLevelType w:val="multilevel"/>
    <w:tmpl w:val="CFC41DD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679205F"/>
    <w:multiLevelType w:val="hybridMultilevel"/>
    <w:tmpl w:val="8202EE2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nsid w:val="45981E25"/>
    <w:multiLevelType w:val="hybridMultilevel"/>
    <w:tmpl w:val="5EDEF8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657CE8"/>
    <w:multiLevelType w:val="hybridMultilevel"/>
    <w:tmpl w:val="FC7C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64793"/>
    <w:multiLevelType w:val="multilevel"/>
    <w:tmpl w:val="507C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656F6"/>
    <w:multiLevelType w:val="hybridMultilevel"/>
    <w:tmpl w:val="F04AD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F7F5C"/>
    <w:multiLevelType w:val="hybridMultilevel"/>
    <w:tmpl w:val="D8B2CE02"/>
    <w:lvl w:ilvl="0" w:tplc="05B2C786">
      <w:start w:val="1"/>
      <w:numFmt w:val="lowerLetter"/>
      <w:pStyle w:val="Table-ActionStep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927D7A"/>
    <w:multiLevelType w:val="hybridMultilevel"/>
    <w:tmpl w:val="157C98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DF19F5"/>
    <w:multiLevelType w:val="hybridMultilevel"/>
    <w:tmpl w:val="FEE8BA5C"/>
    <w:lvl w:ilvl="0" w:tplc="B41C4484">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0">
    <w:nsid w:val="6A76795E"/>
    <w:multiLevelType w:val="hybridMultilevel"/>
    <w:tmpl w:val="994C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7A7324"/>
    <w:multiLevelType w:val="multilevel"/>
    <w:tmpl w:val="43905B0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7EA66B23"/>
    <w:multiLevelType w:val="hybridMultilevel"/>
    <w:tmpl w:val="56F45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17"/>
  </w:num>
  <w:num w:numId="5">
    <w:abstractNumId w:val="17"/>
    <w:lvlOverride w:ilvl="0">
      <w:startOverride w:val="1"/>
    </w:lvlOverride>
  </w:num>
  <w:num w:numId="6">
    <w:abstractNumId w:val="17"/>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4"/>
    </w:lvlOverride>
  </w:num>
  <w:num w:numId="11">
    <w:abstractNumId w:val="17"/>
    <w:lvlOverride w:ilvl="0">
      <w:startOverride w:val="1"/>
    </w:lvlOverride>
  </w:num>
  <w:num w:numId="12">
    <w:abstractNumId w:val="0"/>
  </w:num>
  <w:num w:numId="13">
    <w:abstractNumId w:val="10"/>
  </w:num>
  <w:num w:numId="14">
    <w:abstractNumId w:val="12"/>
  </w:num>
  <w:num w:numId="15">
    <w:abstractNumId w:val="19"/>
  </w:num>
  <w:num w:numId="16">
    <w:abstractNumId w:val="6"/>
  </w:num>
  <w:num w:numId="17">
    <w:abstractNumId w:val="8"/>
  </w:num>
  <w:num w:numId="18">
    <w:abstractNumId w:val="3"/>
  </w:num>
  <w:num w:numId="19">
    <w:abstractNumId w:val="11"/>
  </w:num>
  <w:num w:numId="20">
    <w:abstractNumId w:val="21"/>
  </w:num>
  <w:num w:numId="21">
    <w:abstractNumId w:val="20"/>
  </w:num>
  <w:num w:numId="22">
    <w:abstractNumId w:val="15"/>
  </w:num>
  <w:num w:numId="23">
    <w:abstractNumId w:val="17"/>
    <w:lvlOverride w:ilvl="0">
      <w:startOverride w:val="1"/>
    </w:lvlOverride>
  </w:num>
  <w:num w:numId="24">
    <w:abstractNumId w:val="16"/>
  </w:num>
  <w:num w:numId="25">
    <w:abstractNumId w:val="14"/>
  </w:num>
  <w:num w:numId="26">
    <w:abstractNumId w:val="22"/>
  </w:num>
  <w:num w:numId="27">
    <w:abstractNumId w:val="7"/>
  </w:num>
  <w:num w:numId="28">
    <w:abstractNumId w:val="1"/>
  </w:num>
  <w:num w:numId="29">
    <w:abstractNumId w:val="4"/>
  </w:num>
  <w:num w:numId="30">
    <w:abstractNumId w:val="17"/>
    <w:lvlOverride w:ilvl="0">
      <w:startOverride w:val="1"/>
    </w:lvlOverride>
  </w:num>
  <w:num w:numId="31">
    <w:abstractNumId w:val="5"/>
  </w:num>
  <w:num w:numId="32">
    <w:abstractNumId w:val="18"/>
  </w:num>
  <w:num w:numId="3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5C"/>
    <w:rsid w:val="00001F4A"/>
    <w:rsid w:val="00004EF1"/>
    <w:rsid w:val="000333B6"/>
    <w:rsid w:val="0003568A"/>
    <w:rsid w:val="0004626E"/>
    <w:rsid w:val="00047455"/>
    <w:rsid w:val="000537E6"/>
    <w:rsid w:val="00054C4F"/>
    <w:rsid w:val="00054E72"/>
    <w:rsid w:val="000661A3"/>
    <w:rsid w:val="00086DEA"/>
    <w:rsid w:val="000A2173"/>
    <w:rsid w:val="000A61DB"/>
    <w:rsid w:val="000A79AB"/>
    <w:rsid w:val="000B41D2"/>
    <w:rsid w:val="000C03ED"/>
    <w:rsid w:val="000D4845"/>
    <w:rsid w:val="000D5F7E"/>
    <w:rsid w:val="000E059C"/>
    <w:rsid w:val="000E111E"/>
    <w:rsid w:val="000E4542"/>
    <w:rsid w:val="000E782D"/>
    <w:rsid w:val="000F0044"/>
    <w:rsid w:val="00112424"/>
    <w:rsid w:val="00112EFB"/>
    <w:rsid w:val="00114F5D"/>
    <w:rsid w:val="001252AA"/>
    <w:rsid w:val="0013605A"/>
    <w:rsid w:val="001373E0"/>
    <w:rsid w:val="001427DA"/>
    <w:rsid w:val="0015714D"/>
    <w:rsid w:val="00160DF7"/>
    <w:rsid w:val="001832C0"/>
    <w:rsid w:val="00186132"/>
    <w:rsid w:val="00186A44"/>
    <w:rsid w:val="001962B9"/>
    <w:rsid w:val="001A3221"/>
    <w:rsid w:val="001B0B0D"/>
    <w:rsid w:val="001B18BD"/>
    <w:rsid w:val="001B4AAE"/>
    <w:rsid w:val="001B72AF"/>
    <w:rsid w:val="001E3503"/>
    <w:rsid w:val="00203568"/>
    <w:rsid w:val="00203A67"/>
    <w:rsid w:val="0020487C"/>
    <w:rsid w:val="00221696"/>
    <w:rsid w:val="00225CED"/>
    <w:rsid w:val="00226890"/>
    <w:rsid w:val="002273FE"/>
    <w:rsid w:val="0023496E"/>
    <w:rsid w:val="0023641E"/>
    <w:rsid w:val="0024108D"/>
    <w:rsid w:val="00244CA5"/>
    <w:rsid w:val="00246379"/>
    <w:rsid w:val="00253CCC"/>
    <w:rsid w:val="0025551F"/>
    <w:rsid w:val="00272D84"/>
    <w:rsid w:val="00286C5C"/>
    <w:rsid w:val="002B30D1"/>
    <w:rsid w:val="002C6FF3"/>
    <w:rsid w:val="002C7C06"/>
    <w:rsid w:val="002D0990"/>
    <w:rsid w:val="002D0FCE"/>
    <w:rsid w:val="002F2DC1"/>
    <w:rsid w:val="00305FD5"/>
    <w:rsid w:val="003138E2"/>
    <w:rsid w:val="00314CF7"/>
    <w:rsid w:val="00315E80"/>
    <w:rsid w:val="00323F5C"/>
    <w:rsid w:val="003319B7"/>
    <w:rsid w:val="00340AA4"/>
    <w:rsid w:val="00342640"/>
    <w:rsid w:val="00343446"/>
    <w:rsid w:val="0034591E"/>
    <w:rsid w:val="0034693C"/>
    <w:rsid w:val="00347764"/>
    <w:rsid w:val="00356100"/>
    <w:rsid w:val="003626DA"/>
    <w:rsid w:val="00383D7A"/>
    <w:rsid w:val="003A07A4"/>
    <w:rsid w:val="003A137F"/>
    <w:rsid w:val="003A34B8"/>
    <w:rsid w:val="003A509B"/>
    <w:rsid w:val="003A5ADA"/>
    <w:rsid w:val="003B1320"/>
    <w:rsid w:val="003B3C1C"/>
    <w:rsid w:val="003D228D"/>
    <w:rsid w:val="003D70B2"/>
    <w:rsid w:val="003F075A"/>
    <w:rsid w:val="003F6F66"/>
    <w:rsid w:val="003F7868"/>
    <w:rsid w:val="004018A5"/>
    <w:rsid w:val="00403CF6"/>
    <w:rsid w:val="00422C88"/>
    <w:rsid w:val="004312C0"/>
    <w:rsid w:val="00433FDF"/>
    <w:rsid w:val="00451867"/>
    <w:rsid w:val="00451BB9"/>
    <w:rsid w:val="0045427C"/>
    <w:rsid w:val="0046188F"/>
    <w:rsid w:val="00467EA4"/>
    <w:rsid w:val="004762FB"/>
    <w:rsid w:val="00477BA3"/>
    <w:rsid w:val="004A783D"/>
    <w:rsid w:val="004C2EC7"/>
    <w:rsid w:val="004D71BB"/>
    <w:rsid w:val="004E0B9E"/>
    <w:rsid w:val="004E388F"/>
    <w:rsid w:val="004F4EA2"/>
    <w:rsid w:val="0050603B"/>
    <w:rsid w:val="00511E57"/>
    <w:rsid w:val="00523EB7"/>
    <w:rsid w:val="005340EF"/>
    <w:rsid w:val="005342CA"/>
    <w:rsid w:val="00535D8D"/>
    <w:rsid w:val="0055264F"/>
    <w:rsid w:val="00564CB9"/>
    <w:rsid w:val="00570DE1"/>
    <w:rsid w:val="00573CCD"/>
    <w:rsid w:val="0057604E"/>
    <w:rsid w:val="005852BC"/>
    <w:rsid w:val="005916FC"/>
    <w:rsid w:val="00595E95"/>
    <w:rsid w:val="0059714A"/>
    <w:rsid w:val="005A1DFE"/>
    <w:rsid w:val="005B0569"/>
    <w:rsid w:val="005B3F26"/>
    <w:rsid w:val="005C22B5"/>
    <w:rsid w:val="005C37ED"/>
    <w:rsid w:val="005C4B24"/>
    <w:rsid w:val="005E68D2"/>
    <w:rsid w:val="006064B8"/>
    <w:rsid w:val="00607787"/>
    <w:rsid w:val="00623636"/>
    <w:rsid w:val="006321D4"/>
    <w:rsid w:val="00644CA9"/>
    <w:rsid w:val="006451D9"/>
    <w:rsid w:val="00667579"/>
    <w:rsid w:val="006861A7"/>
    <w:rsid w:val="00690EC8"/>
    <w:rsid w:val="0069545B"/>
    <w:rsid w:val="00696251"/>
    <w:rsid w:val="006A3AA9"/>
    <w:rsid w:val="006A71BE"/>
    <w:rsid w:val="006A7427"/>
    <w:rsid w:val="006B6DAA"/>
    <w:rsid w:val="006B72A0"/>
    <w:rsid w:val="006D1411"/>
    <w:rsid w:val="006D7958"/>
    <w:rsid w:val="006E4906"/>
    <w:rsid w:val="006E5121"/>
    <w:rsid w:val="006F4036"/>
    <w:rsid w:val="006F7169"/>
    <w:rsid w:val="0070237B"/>
    <w:rsid w:val="00704E33"/>
    <w:rsid w:val="00706FEE"/>
    <w:rsid w:val="00712A6C"/>
    <w:rsid w:val="007131B5"/>
    <w:rsid w:val="007250CF"/>
    <w:rsid w:val="00731B44"/>
    <w:rsid w:val="00732240"/>
    <w:rsid w:val="00740F7B"/>
    <w:rsid w:val="00746E65"/>
    <w:rsid w:val="00746FC6"/>
    <w:rsid w:val="00770EFC"/>
    <w:rsid w:val="00783971"/>
    <w:rsid w:val="007850E4"/>
    <w:rsid w:val="00792D42"/>
    <w:rsid w:val="00797A2B"/>
    <w:rsid w:val="007A173E"/>
    <w:rsid w:val="007A2ECA"/>
    <w:rsid w:val="007B1EDD"/>
    <w:rsid w:val="007C12B0"/>
    <w:rsid w:val="007D305C"/>
    <w:rsid w:val="007E24E9"/>
    <w:rsid w:val="007E2CE4"/>
    <w:rsid w:val="00800D19"/>
    <w:rsid w:val="00802FE6"/>
    <w:rsid w:val="008038AF"/>
    <w:rsid w:val="00810052"/>
    <w:rsid w:val="0085345C"/>
    <w:rsid w:val="00872F13"/>
    <w:rsid w:val="00877A51"/>
    <w:rsid w:val="00892EC4"/>
    <w:rsid w:val="00893FFF"/>
    <w:rsid w:val="008A1372"/>
    <w:rsid w:val="008A33FB"/>
    <w:rsid w:val="008A485E"/>
    <w:rsid w:val="008A660C"/>
    <w:rsid w:val="008A7F52"/>
    <w:rsid w:val="008B7DD9"/>
    <w:rsid w:val="008D345D"/>
    <w:rsid w:val="008D4389"/>
    <w:rsid w:val="008D4EC8"/>
    <w:rsid w:val="008D61BB"/>
    <w:rsid w:val="008D73CD"/>
    <w:rsid w:val="008F3963"/>
    <w:rsid w:val="008F4EB2"/>
    <w:rsid w:val="009064A1"/>
    <w:rsid w:val="00917021"/>
    <w:rsid w:val="00926CC6"/>
    <w:rsid w:val="00926D67"/>
    <w:rsid w:val="00937DFB"/>
    <w:rsid w:val="00957E36"/>
    <w:rsid w:val="00967550"/>
    <w:rsid w:val="00972E77"/>
    <w:rsid w:val="00976C27"/>
    <w:rsid w:val="0098658C"/>
    <w:rsid w:val="0099262C"/>
    <w:rsid w:val="00992B13"/>
    <w:rsid w:val="009A157D"/>
    <w:rsid w:val="009A7596"/>
    <w:rsid w:val="009B3DE8"/>
    <w:rsid w:val="009C6D14"/>
    <w:rsid w:val="009C6E38"/>
    <w:rsid w:val="009D3179"/>
    <w:rsid w:val="009D6FF6"/>
    <w:rsid w:val="009F2107"/>
    <w:rsid w:val="009F5944"/>
    <w:rsid w:val="00A05FB9"/>
    <w:rsid w:val="00A16CF1"/>
    <w:rsid w:val="00A16E9A"/>
    <w:rsid w:val="00A31B6F"/>
    <w:rsid w:val="00A345B6"/>
    <w:rsid w:val="00A5748B"/>
    <w:rsid w:val="00A61022"/>
    <w:rsid w:val="00A72942"/>
    <w:rsid w:val="00A7558C"/>
    <w:rsid w:val="00A87FC7"/>
    <w:rsid w:val="00A90131"/>
    <w:rsid w:val="00A93CA6"/>
    <w:rsid w:val="00AC4945"/>
    <w:rsid w:val="00AE48E3"/>
    <w:rsid w:val="00AE51FB"/>
    <w:rsid w:val="00AF057D"/>
    <w:rsid w:val="00AF184A"/>
    <w:rsid w:val="00AF7018"/>
    <w:rsid w:val="00B0152E"/>
    <w:rsid w:val="00B01894"/>
    <w:rsid w:val="00B02D7C"/>
    <w:rsid w:val="00B0643C"/>
    <w:rsid w:val="00B12C2E"/>
    <w:rsid w:val="00B20C8D"/>
    <w:rsid w:val="00B2321A"/>
    <w:rsid w:val="00B54383"/>
    <w:rsid w:val="00B60B32"/>
    <w:rsid w:val="00B81EE5"/>
    <w:rsid w:val="00B82D65"/>
    <w:rsid w:val="00B84DAD"/>
    <w:rsid w:val="00B85313"/>
    <w:rsid w:val="00B96418"/>
    <w:rsid w:val="00BA4144"/>
    <w:rsid w:val="00BA4D0E"/>
    <w:rsid w:val="00BB577E"/>
    <w:rsid w:val="00BD2FDD"/>
    <w:rsid w:val="00BE3718"/>
    <w:rsid w:val="00BF07BB"/>
    <w:rsid w:val="00BF13A4"/>
    <w:rsid w:val="00C04ACC"/>
    <w:rsid w:val="00C076A0"/>
    <w:rsid w:val="00C10B05"/>
    <w:rsid w:val="00C116DB"/>
    <w:rsid w:val="00C201AB"/>
    <w:rsid w:val="00C25575"/>
    <w:rsid w:val="00C34ABD"/>
    <w:rsid w:val="00C40909"/>
    <w:rsid w:val="00C5746E"/>
    <w:rsid w:val="00C62D16"/>
    <w:rsid w:val="00C63B22"/>
    <w:rsid w:val="00C63F27"/>
    <w:rsid w:val="00C71C4F"/>
    <w:rsid w:val="00C85A87"/>
    <w:rsid w:val="00CA0AAB"/>
    <w:rsid w:val="00CC2030"/>
    <w:rsid w:val="00CC3058"/>
    <w:rsid w:val="00CC475A"/>
    <w:rsid w:val="00CC75AA"/>
    <w:rsid w:val="00CE61D3"/>
    <w:rsid w:val="00CF18F0"/>
    <w:rsid w:val="00D06BEC"/>
    <w:rsid w:val="00D1366D"/>
    <w:rsid w:val="00D14C33"/>
    <w:rsid w:val="00D203E1"/>
    <w:rsid w:val="00D2585D"/>
    <w:rsid w:val="00D3111A"/>
    <w:rsid w:val="00D32138"/>
    <w:rsid w:val="00D33006"/>
    <w:rsid w:val="00D41971"/>
    <w:rsid w:val="00D425C2"/>
    <w:rsid w:val="00D5328C"/>
    <w:rsid w:val="00D71125"/>
    <w:rsid w:val="00D71489"/>
    <w:rsid w:val="00D74547"/>
    <w:rsid w:val="00D771D3"/>
    <w:rsid w:val="00D80DBB"/>
    <w:rsid w:val="00D93DDA"/>
    <w:rsid w:val="00DA2A10"/>
    <w:rsid w:val="00DA5F98"/>
    <w:rsid w:val="00DC6579"/>
    <w:rsid w:val="00DD4EC9"/>
    <w:rsid w:val="00DE2609"/>
    <w:rsid w:val="00DE6DA7"/>
    <w:rsid w:val="00DE7BB8"/>
    <w:rsid w:val="00E00D56"/>
    <w:rsid w:val="00E16870"/>
    <w:rsid w:val="00E2508A"/>
    <w:rsid w:val="00E251EE"/>
    <w:rsid w:val="00E31892"/>
    <w:rsid w:val="00E31CED"/>
    <w:rsid w:val="00E32D8F"/>
    <w:rsid w:val="00E42BEF"/>
    <w:rsid w:val="00E62F43"/>
    <w:rsid w:val="00E71250"/>
    <w:rsid w:val="00E77711"/>
    <w:rsid w:val="00E84725"/>
    <w:rsid w:val="00E86131"/>
    <w:rsid w:val="00E96E44"/>
    <w:rsid w:val="00EA3FBB"/>
    <w:rsid w:val="00EC31D0"/>
    <w:rsid w:val="00EC5B01"/>
    <w:rsid w:val="00EC6F1E"/>
    <w:rsid w:val="00ED1031"/>
    <w:rsid w:val="00ED78EA"/>
    <w:rsid w:val="00EE354A"/>
    <w:rsid w:val="00EE567B"/>
    <w:rsid w:val="00EF2114"/>
    <w:rsid w:val="00EF4B86"/>
    <w:rsid w:val="00F12144"/>
    <w:rsid w:val="00F12C44"/>
    <w:rsid w:val="00F1617C"/>
    <w:rsid w:val="00F17B4B"/>
    <w:rsid w:val="00F25EB6"/>
    <w:rsid w:val="00F317A2"/>
    <w:rsid w:val="00F37A5A"/>
    <w:rsid w:val="00F40251"/>
    <w:rsid w:val="00F409EE"/>
    <w:rsid w:val="00F44257"/>
    <w:rsid w:val="00F47B02"/>
    <w:rsid w:val="00F51A2D"/>
    <w:rsid w:val="00F60566"/>
    <w:rsid w:val="00F62FDB"/>
    <w:rsid w:val="00F718EC"/>
    <w:rsid w:val="00F71D92"/>
    <w:rsid w:val="00F82D45"/>
    <w:rsid w:val="00F91C93"/>
    <w:rsid w:val="00F94789"/>
    <w:rsid w:val="00F95645"/>
    <w:rsid w:val="00FA2A2D"/>
    <w:rsid w:val="00FC2833"/>
    <w:rsid w:val="00FC7C89"/>
    <w:rsid w:val="00FD2B10"/>
    <w:rsid w:val="00FD3C31"/>
    <w:rsid w:val="00FF5B5E"/>
    <w:rsid w:val="00FF6AAA"/>
    <w:rsid w:val="00FF703B"/>
    <w:rsid w:val="012DC4CA"/>
    <w:rsid w:val="01483378"/>
    <w:rsid w:val="01664B57"/>
    <w:rsid w:val="019F7BA5"/>
    <w:rsid w:val="01B5D998"/>
    <w:rsid w:val="024FFAB1"/>
    <w:rsid w:val="03261021"/>
    <w:rsid w:val="035A6897"/>
    <w:rsid w:val="035DE220"/>
    <w:rsid w:val="053A2E43"/>
    <w:rsid w:val="053B731B"/>
    <w:rsid w:val="06094383"/>
    <w:rsid w:val="062F9920"/>
    <w:rsid w:val="06F615C2"/>
    <w:rsid w:val="071BDF0A"/>
    <w:rsid w:val="088106AA"/>
    <w:rsid w:val="08BC8CF5"/>
    <w:rsid w:val="0A687906"/>
    <w:rsid w:val="0AC8339D"/>
    <w:rsid w:val="0B710ED2"/>
    <w:rsid w:val="0B9AF291"/>
    <w:rsid w:val="0BF7BA87"/>
    <w:rsid w:val="0CD82CDD"/>
    <w:rsid w:val="0E890153"/>
    <w:rsid w:val="0ECEFDA7"/>
    <w:rsid w:val="0F250065"/>
    <w:rsid w:val="0F27F346"/>
    <w:rsid w:val="0F3218D1"/>
    <w:rsid w:val="0F7D4441"/>
    <w:rsid w:val="10C0EC1D"/>
    <w:rsid w:val="11E44C65"/>
    <w:rsid w:val="1254179F"/>
    <w:rsid w:val="12A5E6D7"/>
    <w:rsid w:val="13301962"/>
    <w:rsid w:val="1372A9F4"/>
    <w:rsid w:val="13D75D82"/>
    <w:rsid w:val="1454D302"/>
    <w:rsid w:val="1456ABF9"/>
    <w:rsid w:val="14632212"/>
    <w:rsid w:val="156DDE71"/>
    <w:rsid w:val="16B32A01"/>
    <w:rsid w:val="18548483"/>
    <w:rsid w:val="18909632"/>
    <w:rsid w:val="189BB0EC"/>
    <w:rsid w:val="18B9CA5D"/>
    <w:rsid w:val="18BCC601"/>
    <w:rsid w:val="19FC28BB"/>
    <w:rsid w:val="1A12FEB2"/>
    <w:rsid w:val="1BB165E3"/>
    <w:rsid w:val="1BEAAB69"/>
    <w:rsid w:val="1DCA416B"/>
    <w:rsid w:val="1E31BD32"/>
    <w:rsid w:val="1F734F42"/>
    <w:rsid w:val="2038B50D"/>
    <w:rsid w:val="20615F01"/>
    <w:rsid w:val="2076C079"/>
    <w:rsid w:val="2131CD24"/>
    <w:rsid w:val="21459C97"/>
    <w:rsid w:val="2149DA6F"/>
    <w:rsid w:val="2249192F"/>
    <w:rsid w:val="2290A7FA"/>
    <w:rsid w:val="23141E0D"/>
    <w:rsid w:val="23AC8BC2"/>
    <w:rsid w:val="2427B7E4"/>
    <w:rsid w:val="24602480"/>
    <w:rsid w:val="2492390A"/>
    <w:rsid w:val="24C54C92"/>
    <w:rsid w:val="25BB2FFC"/>
    <w:rsid w:val="25C73FA7"/>
    <w:rsid w:val="261BEACC"/>
    <w:rsid w:val="261F6F5D"/>
    <w:rsid w:val="268FBF24"/>
    <w:rsid w:val="26A9F645"/>
    <w:rsid w:val="26F77BCF"/>
    <w:rsid w:val="29435F51"/>
    <w:rsid w:val="296C9461"/>
    <w:rsid w:val="2B1AD83F"/>
    <w:rsid w:val="2C165ACD"/>
    <w:rsid w:val="2C511744"/>
    <w:rsid w:val="2CDB9524"/>
    <w:rsid w:val="2D97E4CF"/>
    <w:rsid w:val="2EDB04C7"/>
    <w:rsid w:val="2F4E8A71"/>
    <w:rsid w:val="2F510299"/>
    <w:rsid w:val="2F556647"/>
    <w:rsid w:val="2FD824BB"/>
    <w:rsid w:val="31198713"/>
    <w:rsid w:val="314A0007"/>
    <w:rsid w:val="316B060B"/>
    <w:rsid w:val="3187D50B"/>
    <w:rsid w:val="32B8871F"/>
    <w:rsid w:val="33DC5734"/>
    <w:rsid w:val="3461C109"/>
    <w:rsid w:val="34952A56"/>
    <w:rsid w:val="36DA888E"/>
    <w:rsid w:val="37285D8F"/>
    <w:rsid w:val="373AD8F2"/>
    <w:rsid w:val="38773666"/>
    <w:rsid w:val="3948D806"/>
    <w:rsid w:val="3BF2C39A"/>
    <w:rsid w:val="3C208C9E"/>
    <w:rsid w:val="3D3F1538"/>
    <w:rsid w:val="3E4C469B"/>
    <w:rsid w:val="3E9070B6"/>
    <w:rsid w:val="3F4C98F1"/>
    <w:rsid w:val="3FA14DAA"/>
    <w:rsid w:val="3FD8AFC3"/>
    <w:rsid w:val="3FFE01D3"/>
    <w:rsid w:val="403EA7D0"/>
    <w:rsid w:val="41DF13EF"/>
    <w:rsid w:val="427BB904"/>
    <w:rsid w:val="4484B8D5"/>
    <w:rsid w:val="450E3DC0"/>
    <w:rsid w:val="4572C402"/>
    <w:rsid w:val="45D1DADB"/>
    <w:rsid w:val="474878B9"/>
    <w:rsid w:val="474E3592"/>
    <w:rsid w:val="477D2923"/>
    <w:rsid w:val="479C31EA"/>
    <w:rsid w:val="48356F2A"/>
    <w:rsid w:val="48E71D96"/>
    <w:rsid w:val="48EE11AF"/>
    <w:rsid w:val="4A18EC1F"/>
    <w:rsid w:val="4AE35833"/>
    <w:rsid w:val="4B8DE5A7"/>
    <w:rsid w:val="4B9DFD7D"/>
    <w:rsid w:val="4D613040"/>
    <w:rsid w:val="4DB731D6"/>
    <w:rsid w:val="4E9AB16E"/>
    <w:rsid w:val="4EBC4F11"/>
    <w:rsid w:val="4ED11A25"/>
    <w:rsid w:val="4FC675A9"/>
    <w:rsid w:val="4FEB428F"/>
    <w:rsid w:val="5086662C"/>
    <w:rsid w:val="50CC6F7E"/>
    <w:rsid w:val="50E8C76D"/>
    <w:rsid w:val="520EF8F4"/>
    <w:rsid w:val="52BF0904"/>
    <w:rsid w:val="5460EDEF"/>
    <w:rsid w:val="55216CCE"/>
    <w:rsid w:val="552AAFE6"/>
    <w:rsid w:val="563B5762"/>
    <w:rsid w:val="56830466"/>
    <w:rsid w:val="572476FB"/>
    <w:rsid w:val="57378B14"/>
    <w:rsid w:val="57A00582"/>
    <w:rsid w:val="57B00106"/>
    <w:rsid w:val="5809E9A8"/>
    <w:rsid w:val="58BB6827"/>
    <w:rsid w:val="58C90FA2"/>
    <w:rsid w:val="58E025B9"/>
    <w:rsid w:val="5964A54E"/>
    <w:rsid w:val="5A44D91B"/>
    <w:rsid w:val="5AC35B1A"/>
    <w:rsid w:val="5AEFF3F5"/>
    <w:rsid w:val="5BE8515A"/>
    <w:rsid w:val="5C152B32"/>
    <w:rsid w:val="5C7E9287"/>
    <w:rsid w:val="5CD61A7B"/>
    <w:rsid w:val="5D886195"/>
    <w:rsid w:val="5DB3B3D9"/>
    <w:rsid w:val="5DCD0CEC"/>
    <w:rsid w:val="5E8DC28A"/>
    <w:rsid w:val="5EA6D71A"/>
    <w:rsid w:val="61489508"/>
    <w:rsid w:val="61CA9B41"/>
    <w:rsid w:val="61E0645D"/>
    <w:rsid w:val="62C6F88F"/>
    <w:rsid w:val="62E4D953"/>
    <w:rsid w:val="62F2C410"/>
    <w:rsid w:val="65239CB2"/>
    <w:rsid w:val="65A0C94F"/>
    <w:rsid w:val="65CF868C"/>
    <w:rsid w:val="663890C1"/>
    <w:rsid w:val="66C8420C"/>
    <w:rsid w:val="66EB11C9"/>
    <w:rsid w:val="67186D4A"/>
    <w:rsid w:val="67623011"/>
    <w:rsid w:val="6763CCEE"/>
    <w:rsid w:val="69006F65"/>
    <w:rsid w:val="69537517"/>
    <w:rsid w:val="69C0D737"/>
    <w:rsid w:val="6AD29CA7"/>
    <w:rsid w:val="6C4AD6C8"/>
    <w:rsid w:val="6D1CE118"/>
    <w:rsid w:val="6D31FE55"/>
    <w:rsid w:val="6D42C7A0"/>
    <w:rsid w:val="6E2F8DE4"/>
    <w:rsid w:val="6EAB3466"/>
    <w:rsid w:val="6F27B49E"/>
    <w:rsid w:val="6FCA70F4"/>
    <w:rsid w:val="71CFCFFB"/>
    <w:rsid w:val="72361185"/>
    <w:rsid w:val="7379FD58"/>
    <w:rsid w:val="73A0FCD2"/>
    <w:rsid w:val="73FA8D3A"/>
    <w:rsid w:val="74255BA9"/>
    <w:rsid w:val="751049D3"/>
    <w:rsid w:val="75A04ED9"/>
    <w:rsid w:val="7618B3E5"/>
    <w:rsid w:val="76B16663"/>
    <w:rsid w:val="76EA7069"/>
    <w:rsid w:val="77860C23"/>
    <w:rsid w:val="779EDBF0"/>
    <w:rsid w:val="78E0EB8C"/>
    <w:rsid w:val="78E539DD"/>
    <w:rsid w:val="79021DCA"/>
    <w:rsid w:val="7988A79A"/>
    <w:rsid w:val="79921D24"/>
    <w:rsid w:val="7A185B6D"/>
    <w:rsid w:val="7ACD0728"/>
    <w:rsid w:val="7ACEF4CE"/>
    <w:rsid w:val="7B0E2F94"/>
    <w:rsid w:val="7B2B5337"/>
    <w:rsid w:val="7C29A192"/>
    <w:rsid w:val="7C89FB55"/>
    <w:rsid w:val="7CD783C3"/>
    <w:rsid w:val="7D75AA93"/>
    <w:rsid w:val="7DB0963C"/>
    <w:rsid w:val="7FB7D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2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cusArea">
    <w:name w:val="Table-Focus Area"/>
    <w:basedOn w:val="Normal"/>
    <w:qFormat/>
    <w:rsid w:val="00323F5C"/>
    <w:rPr>
      <w:rFonts w:cs="Arial"/>
      <w:b/>
      <w:color w:val="FFFFFF" w:themeColor="background1"/>
      <w:sz w:val="24"/>
    </w:rPr>
  </w:style>
  <w:style w:type="paragraph" w:customStyle="1" w:styleId="Table-Goal">
    <w:name w:val="Table-Goal"/>
    <w:basedOn w:val="Normal"/>
    <w:qFormat/>
    <w:rsid w:val="00323F5C"/>
    <w:pPr>
      <w:ind w:left="900" w:hanging="900"/>
    </w:pPr>
    <w:rPr>
      <w:rFonts w:cs="Arial"/>
      <w:b/>
    </w:rPr>
  </w:style>
  <w:style w:type="paragraph" w:customStyle="1" w:styleId="Table-Objectives">
    <w:name w:val="Table-Objectives"/>
    <w:basedOn w:val="Normal"/>
    <w:qFormat/>
    <w:rsid w:val="0034693C"/>
    <w:pPr>
      <w:ind w:left="2582" w:hanging="2582"/>
    </w:pPr>
    <w:rPr>
      <w:rFonts w:cs="Arial"/>
      <w:b/>
    </w:rPr>
  </w:style>
  <w:style w:type="paragraph" w:customStyle="1" w:styleId="Table-ActionTitles">
    <w:name w:val="Table-Action Titles"/>
    <w:basedOn w:val="Normal"/>
    <w:qFormat/>
    <w:rsid w:val="00323F5C"/>
    <w:pPr>
      <w:jc w:val="center"/>
    </w:pPr>
    <w:rPr>
      <w:rFonts w:cs="Arial"/>
      <w:b/>
      <w:sz w:val="20"/>
    </w:rPr>
  </w:style>
  <w:style w:type="paragraph" w:customStyle="1" w:styleId="Table-Strategies">
    <w:name w:val="Table-Strategies"/>
    <w:basedOn w:val="Normal"/>
    <w:qFormat/>
    <w:rsid w:val="0034693C"/>
    <w:rPr>
      <w:rFonts w:cs="Arial"/>
      <w:b/>
      <w:sz w:val="20"/>
    </w:rPr>
  </w:style>
  <w:style w:type="paragraph" w:customStyle="1" w:styleId="Table-ActionSteps">
    <w:name w:val="Table-Action Steps"/>
    <w:basedOn w:val="ListParagraph"/>
    <w:qFormat/>
    <w:rsid w:val="0034693C"/>
    <w:pPr>
      <w:numPr>
        <w:numId w:val="4"/>
      </w:numPr>
      <w:contextualSpacing w:val="0"/>
    </w:pPr>
    <w:rPr>
      <w:rFonts w:cs="Arial"/>
      <w:sz w:val="20"/>
    </w:rPr>
  </w:style>
  <w:style w:type="paragraph" w:customStyle="1" w:styleId="Table-Progress">
    <w:name w:val="Table-Progress"/>
    <w:basedOn w:val="Normal"/>
    <w:qFormat/>
    <w:rsid w:val="00A72942"/>
    <w:pPr>
      <w:jc w:val="center"/>
    </w:pPr>
    <w:rPr>
      <w:rFonts w:cs="Arial"/>
      <w:sz w:val="20"/>
    </w:rPr>
  </w:style>
  <w:style w:type="paragraph" w:styleId="ListParagraph">
    <w:name w:val="List Paragraph"/>
    <w:basedOn w:val="Normal"/>
    <w:uiPriority w:val="34"/>
    <w:qFormat/>
    <w:rsid w:val="00323F5C"/>
    <w:pPr>
      <w:ind w:left="720"/>
      <w:contextualSpacing/>
    </w:pPr>
  </w:style>
  <w:style w:type="paragraph" w:styleId="Header">
    <w:name w:val="header"/>
    <w:basedOn w:val="Normal"/>
    <w:link w:val="HeaderChar"/>
    <w:uiPriority w:val="99"/>
    <w:unhideWhenUsed/>
    <w:rsid w:val="00AF184A"/>
    <w:pPr>
      <w:tabs>
        <w:tab w:val="center" w:pos="4680"/>
        <w:tab w:val="right" w:pos="9360"/>
      </w:tabs>
    </w:pPr>
  </w:style>
  <w:style w:type="character" w:customStyle="1" w:styleId="HeaderChar">
    <w:name w:val="Header Char"/>
    <w:basedOn w:val="DefaultParagraphFont"/>
    <w:link w:val="Header"/>
    <w:uiPriority w:val="99"/>
    <w:rsid w:val="00AF184A"/>
    <w:rPr>
      <w:rFonts w:ascii="Arial" w:hAnsi="Arial"/>
    </w:rPr>
  </w:style>
  <w:style w:type="paragraph" w:styleId="Footer">
    <w:name w:val="footer"/>
    <w:basedOn w:val="Normal"/>
    <w:link w:val="FooterChar"/>
    <w:uiPriority w:val="99"/>
    <w:unhideWhenUsed/>
    <w:rsid w:val="00AF184A"/>
    <w:pPr>
      <w:tabs>
        <w:tab w:val="center" w:pos="4680"/>
        <w:tab w:val="right" w:pos="9360"/>
      </w:tabs>
    </w:pPr>
  </w:style>
  <w:style w:type="character" w:customStyle="1" w:styleId="FooterChar">
    <w:name w:val="Footer Char"/>
    <w:basedOn w:val="DefaultParagraphFont"/>
    <w:link w:val="Footer"/>
    <w:uiPriority w:val="99"/>
    <w:rsid w:val="00AF184A"/>
    <w:rPr>
      <w:rFonts w:ascii="Arial" w:hAnsi="Arial"/>
    </w:rPr>
  </w:style>
  <w:style w:type="paragraph" w:customStyle="1" w:styleId="Table-Bullets">
    <w:name w:val="Table-Bullets"/>
    <w:basedOn w:val="ListParagraph"/>
    <w:qFormat/>
    <w:rsid w:val="00D71489"/>
    <w:pPr>
      <w:numPr>
        <w:numId w:val="1"/>
      </w:numPr>
    </w:pPr>
    <w:rPr>
      <w:rFonts w:cs="Arial"/>
      <w:sz w:val="20"/>
    </w:rPr>
  </w:style>
  <w:style w:type="character" w:styleId="CommentReference">
    <w:name w:val="annotation reference"/>
    <w:basedOn w:val="DefaultParagraphFont"/>
    <w:uiPriority w:val="99"/>
    <w:semiHidden/>
    <w:unhideWhenUsed/>
    <w:rsid w:val="00467EA4"/>
    <w:rPr>
      <w:sz w:val="16"/>
      <w:szCs w:val="16"/>
    </w:rPr>
  </w:style>
  <w:style w:type="paragraph" w:styleId="CommentText">
    <w:name w:val="annotation text"/>
    <w:basedOn w:val="Normal"/>
    <w:link w:val="CommentTextChar"/>
    <w:uiPriority w:val="99"/>
    <w:semiHidden/>
    <w:unhideWhenUsed/>
    <w:rsid w:val="00467EA4"/>
    <w:rPr>
      <w:sz w:val="20"/>
      <w:szCs w:val="20"/>
    </w:rPr>
  </w:style>
  <w:style w:type="character" w:customStyle="1" w:styleId="CommentTextChar">
    <w:name w:val="Comment Text Char"/>
    <w:basedOn w:val="DefaultParagraphFont"/>
    <w:link w:val="CommentText"/>
    <w:uiPriority w:val="99"/>
    <w:semiHidden/>
    <w:rsid w:val="00467E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7EA4"/>
    <w:rPr>
      <w:b/>
      <w:bCs/>
    </w:rPr>
  </w:style>
  <w:style w:type="character" w:customStyle="1" w:styleId="CommentSubjectChar">
    <w:name w:val="Comment Subject Char"/>
    <w:basedOn w:val="CommentTextChar"/>
    <w:link w:val="CommentSubject"/>
    <w:uiPriority w:val="99"/>
    <w:semiHidden/>
    <w:rsid w:val="00467EA4"/>
    <w:rPr>
      <w:rFonts w:ascii="Arial" w:hAnsi="Arial"/>
      <w:b/>
      <w:bCs/>
      <w:sz w:val="20"/>
      <w:szCs w:val="20"/>
    </w:rPr>
  </w:style>
  <w:style w:type="paragraph" w:styleId="BalloonText">
    <w:name w:val="Balloon Text"/>
    <w:basedOn w:val="Normal"/>
    <w:link w:val="BalloonTextChar"/>
    <w:uiPriority w:val="99"/>
    <w:semiHidden/>
    <w:unhideWhenUsed/>
    <w:rsid w:val="00467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A4"/>
    <w:rPr>
      <w:rFonts w:ascii="Segoe UI" w:hAnsi="Segoe UI" w:cs="Segoe UI"/>
      <w:sz w:val="18"/>
      <w:szCs w:val="18"/>
    </w:rPr>
  </w:style>
  <w:style w:type="paragraph" w:customStyle="1" w:styleId="FADividerFATitle">
    <w:name w:val="FA Divider FA Title"/>
    <w:basedOn w:val="Normal"/>
    <w:qFormat/>
    <w:rsid w:val="002F2DC1"/>
    <w:pPr>
      <w:ind w:left="-450" w:right="-540"/>
    </w:pPr>
    <w:rPr>
      <w:rFonts w:cs="Times New Roman"/>
      <w:color w:val="FFFFFF" w:themeColor="background1"/>
      <w:sz w:val="44"/>
    </w:rPr>
  </w:style>
  <w:style w:type="paragraph" w:customStyle="1" w:styleId="FADividerFA">
    <w:name w:val="FA Divider FA#"/>
    <w:basedOn w:val="FADividerFATitle"/>
    <w:qFormat/>
    <w:rsid w:val="002F2DC1"/>
    <w:rPr>
      <w:smallCaps/>
      <w:sz w:val="96"/>
    </w:rPr>
  </w:style>
  <w:style w:type="paragraph" w:customStyle="1" w:styleId="FADividerAofCList">
    <w:name w:val="FA Divider AofC List"/>
    <w:basedOn w:val="Normal"/>
    <w:qFormat/>
    <w:rsid w:val="002F2DC1"/>
    <w:pPr>
      <w:numPr>
        <w:numId w:val="2"/>
      </w:numPr>
    </w:pPr>
    <w:rPr>
      <w:rFonts w:cs="Times New Roman"/>
      <w:color w:val="FFFFFF" w:themeColor="background1"/>
      <w:sz w:val="28"/>
    </w:rPr>
  </w:style>
  <w:style w:type="paragraph" w:customStyle="1" w:styleId="ATParticipantsTITLE">
    <w:name w:val="AT Participants TITLE"/>
    <w:basedOn w:val="Normal"/>
    <w:next w:val="Normal"/>
    <w:qFormat/>
    <w:rsid w:val="00114F5D"/>
    <w:rPr>
      <w:b/>
      <w:sz w:val="24"/>
    </w:rPr>
  </w:style>
  <w:style w:type="paragraph" w:customStyle="1" w:styleId="Table-ActionStepsTiming">
    <w:name w:val="Table-Action Steps Timing"/>
    <w:basedOn w:val="Normal"/>
    <w:qFormat/>
    <w:rsid w:val="003A34B8"/>
    <w:pPr>
      <w:ind w:left="343"/>
    </w:pPr>
    <w:rPr>
      <w:b/>
      <w:sz w:val="20"/>
    </w:rPr>
  </w:style>
  <w:style w:type="character" w:styleId="Hyperlink">
    <w:name w:val="Hyperlink"/>
    <w:basedOn w:val="DefaultParagraphFont"/>
    <w:uiPriority w:val="99"/>
    <w:unhideWhenUsed/>
    <w:rsid w:val="0013605A"/>
    <w:rPr>
      <w:color w:val="0563C1" w:themeColor="hyperlink"/>
      <w:u w:val="single"/>
    </w:rPr>
  </w:style>
  <w:style w:type="paragraph" w:styleId="Revision">
    <w:name w:val="Revision"/>
    <w:hidden/>
    <w:uiPriority w:val="99"/>
    <w:semiHidden/>
    <w:rsid w:val="005852BC"/>
    <w:pPr>
      <w:spacing w:after="0" w:line="240" w:lineRule="auto"/>
    </w:pPr>
  </w:style>
  <w:style w:type="table" w:styleId="TableGrid">
    <w:name w:val="Table Grid"/>
    <w:basedOn w:val="TableNormal"/>
    <w:uiPriority w:val="39"/>
    <w:rsid w:val="00C0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D78EA"/>
    <w:pPr>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ED78EA"/>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cusArea">
    <w:name w:val="Table-Focus Area"/>
    <w:basedOn w:val="Normal"/>
    <w:qFormat/>
    <w:rsid w:val="00323F5C"/>
    <w:rPr>
      <w:rFonts w:cs="Arial"/>
      <w:b/>
      <w:color w:val="FFFFFF" w:themeColor="background1"/>
      <w:sz w:val="24"/>
    </w:rPr>
  </w:style>
  <w:style w:type="paragraph" w:customStyle="1" w:styleId="Table-Goal">
    <w:name w:val="Table-Goal"/>
    <w:basedOn w:val="Normal"/>
    <w:qFormat/>
    <w:rsid w:val="00323F5C"/>
    <w:pPr>
      <w:ind w:left="900" w:hanging="900"/>
    </w:pPr>
    <w:rPr>
      <w:rFonts w:cs="Arial"/>
      <w:b/>
    </w:rPr>
  </w:style>
  <w:style w:type="paragraph" w:customStyle="1" w:styleId="Table-Objectives">
    <w:name w:val="Table-Objectives"/>
    <w:basedOn w:val="Normal"/>
    <w:qFormat/>
    <w:rsid w:val="0034693C"/>
    <w:pPr>
      <w:ind w:left="2582" w:hanging="2582"/>
    </w:pPr>
    <w:rPr>
      <w:rFonts w:cs="Arial"/>
      <w:b/>
    </w:rPr>
  </w:style>
  <w:style w:type="paragraph" w:customStyle="1" w:styleId="Table-ActionTitles">
    <w:name w:val="Table-Action Titles"/>
    <w:basedOn w:val="Normal"/>
    <w:qFormat/>
    <w:rsid w:val="00323F5C"/>
    <w:pPr>
      <w:jc w:val="center"/>
    </w:pPr>
    <w:rPr>
      <w:rFonts w:cs="Arial"/>
      <w:b/>
      <w:sz w:val="20"/>
    </w:rPr>
  </w:style>
  <w:style w:type="paragraph" w:customStyle="1" w:styleId="Table-Strategies">
    <w:name w:val="Table-Strategies"/>
    <w:basedOn w:val="Normal"/>
    <w:qFormat/>
    <w:rsid w:val="0034693C"/>
    <w:rPr>
      <w:rFonts w:cs="Arial"/>
      <w:b/>
      <w:sz w:val="20"/>
    </w:rPr>
  </w:style>
  <w:style w:type="paragraph" w:customStyle="1" w:styleId="Table-ActionSteps">
    <w:name w:val="Table-Action Steps"/>
    <w:basedOn w:val="ListParagraph"/>
    <w:qFormat/>
    <w:rsid w:val="0034693C"/>
    <w:pPr>
      <w:numPr>
        <w:numId w:val="4"/>
      </w:numPr>
      <w:contextualSpacing w:val="0"/>
    </w:pPr>
    <w:rPr>
      <w:rFonts w:cs="Arial"/>
      <w:sz w:val="20"/>
    </w:rPr>
  </w:style>
  <w:style w:type="paragraph" w:customStyle="1" w:styleId="Table-Progress">
    <w:name w:val="Table-Progress"/>
    <w:basedOn w:val="Normal"/>
    <w:qFormat/>
    <w:rsid w:val="00A72942"/>
    <w:pPr>
      <w:jc w:val="center"/>
    </w:pPr>
    <w:rPr>
      <w:rFonts w:cs="Arial"/>
      <w:sz w:val="20"/>
    </w:rPr>
  </w:style>
  <w:style w:type="paragraph" w:styleId="ListParagraph">
    <w:name w:val="List Paragraph"/>
    <w:basedOn w:val="Normal"/>
    <w:uiPriority w:val="34"/>
    <w:qFormat/>
    <w:rsid w:val="00323F5C"/>
    <w:pPr>
      <w:ind w:left="720"/>
      <w:contextualSpacing/>
    </w:pPr>
  </w:style>
  <w:style w:type="paragraph" w:styleId="Header">
    <w:name w:val="header"/>
    <w:basedOn w:val="Normal"/>
    <w:link w:val="HeaderChar"/>
    <w:uiPriority w:val="99"/>
    <w:unhideWhenUsed/>
    <w:rsid w:val="00AF184A"/>
    <w:pPr>
      <w:tabs>
        <w:tab w:val="center" w:pos="4680"/>
        <w:tab w:val="right" w:pos="9360"/>
      </w:tabs>
    </w:pPr>
  </w:style>
  <w:style w:type="character" w:customStyle="1" w:styleId="HeaderChar">
    <w:name w:val="Header Char"/>
    <w:basedOn w:val="DefaultParagraphFont"/>
    <w:link w:val="Header"/>
    <w:uiPriority w:val="99"/>
    <w:rsid w:val="00AF184A"/>
    <w:rPr>
      <w:rFonts w:ascii="Arial" w:hAnsi="Arial"/>
    </w:rPr>
  </w:style>
  <w:style w:type="paragraph" w:styleId="Footer">
    <w:name w:val="footer"/>
    <w:basedOn w:val="Normal"/>
    <w:link w:val="FooterChar"/>
    <w:uiPriority w:val="99"/>
    <w:unhideWhenUsed/>
    <w:rsid w:val="00AF184A"/>
    <w:pPr>
      <w:tabs>
        <w:tab w:val="center" w:pos="4680"/>
        <w:tab w:val="right" w:pos="9360"/>
      </w:tabs>
    </w:pPr>
  </w:style>
  <w:style w:type="character" w:customStyle="1" w:styleId="FooterChar">
    <w:name w:val="Footer Char"/>
    <w:basedOn w:val="DefaultParagraphFont"/>
    <w:link w:val="Footer"/>
    <w:uiPriority w:val="99"/>
    <w:rsid w:val="00AF184A"/>
    <w:rPr>
      <w:rFonts w:ascii="Arial" w:hAnsi="Arial"/>
    </w:rPr>
  </w:style>
  <w:style w:type="paragraph" w:customStyle="1" w:styleId="Table-Bullets">
    <w:name w:val="Table-Bullets"/>
    <w:basedOn w:val="ListParagraph"/>
    <w:qFormat/>
    <w:rsid w:val="00D71489"/>
    <w:pPr>
      <w:numPr>
        <w:numId w:val="1"/>
      </w:numPr>
    </w:pPr>
    <w:rPr>
      <w:rFonts w:cs="Arial"/>
      <w:sz w:val="20"/>
    </w:rPr>
  </w:style>
  <w:style w:type="character" w:styleId="CommentReference">
    <w:name w:val="annotation reference"/>
    <w:basedOn w:val="DefaultParagraphFont"/>
    <w:uiPriority w:val="99"/>
    <w:semiHidden/>
    <w:unhideWhenUsed/>
    <w:rsid w:val="00467EA4"/>
    <w:rPr>
      <w:sz w:val="16"/>
      <w:szCs w:val="16"/>
    </w:rPr>
  </w:style>
  <w:style w:type="paragraph" w:styleId="CommentText">
    <w:name w:val="annotation text"/>
    <w:basedOn w:val="Normal"/>
    <w:link w:val="CommentTextChar"/>
    <w:uiPriority w:val="99"/>
    <w:semiHidden/>
    <w:unhideWhenUsed/>
    <w:rsid w:val="00467EA4"/>
    <w:rPr>
      <w:sz w:val="20"/>
      <w:szCs w:val="20"/>
    </w:rPr>
  </w:style>
  <w:style w:type="character" w:customStyle="1" w:styleId="CommentTextChar">
    <w:name w:val="Comment Text Char"/>
    <w:basedOn w:val="DefaultParagraphFont"/>
    <w:link w:val="CommentText"/>
    <w:uiPriority w:val="99"/>
    <w:semiHidden/>
    <w:rsid w:val="00467E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7EA4"/>
    <w:rPr>
      <w:b/>
      <w:bCs/>
    </w:rPr>
  </w:style>
  <w:style w:type="character" w:customStyle="1" w:styleId="CommentSubjectChar">
    <w:name w:val="Comment Subject Char"/>
    <w:basedOn w:val="CommentTextChar"/>
    <w:link w:val="CommentSubject"/>
    <w:uiPriority w:val="99"/>
    <w:semiHidden/>
    <w:rsid w:val="00467EA4"/>
    <w:rPr>
      <w:rFonts w:ascii="Arial" w:hAnsi="Arial"/>
      <w:b/>
      <w:bCs/>
      <w:sz w:val="20"/>
      <w:szCs w:val="20"/>
    </w:rPr>
  </w:style>
  <w:style w:type="paragraph" w:styleId="BalloonText">
    <w:name w:val="Balloon Text"/>
    <w:basedOn w:val="Normal"/>
    <w:link w:val="BalloonTextChar"/>
    <w:uiPriority w:val="99"/>
    <w:semiHidden/>
    <w:unhideWhenUsed/>
    <w:rsid w:val="00467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A4"/>
    <w:rPr>
      <w:rFonts w:ascii="Segoe UI" w:hAnsi="Segoe UI" w:cs="Segoe UI"/>
      <w:sz w:val="18"/>
      <w:szCs w:val="18"/>
    </w:rPr>
  </w:style>
  <w:style w:type="paragraph" w:customStyle="1" w:styleId="FADividerFATitle">
    <w:name w:val="FA Divider FA Title"/>
    <w:basedOn w:val="Normal"/>
    <w:qFormat/>
    <w:rsid w:val="002F2DC1"/>
    <w:pPr>
      <w:ind w:left="-450" w:right="-540"/>
    </w:pPr>
    <w:rPr>
      <w:rFonts w:cs="Times New Roman"/>
      <w:color w:val="FFFFFF" w:themeColor="background1"/>
      <w:sz w:val="44"/>
    </w:rPr>
  </w:style>
  <w:style w:type="paragraph" w:customStyle="1" w:styleId="FADividerFA">
    <w:name w:val="FA Divider FA#"/>
    <w:basedOn w:val="FADividerFATitle"/>
    <w:qFormat/>
    <w:rsid w:val="002F2DC1"/>
    <w:rPr>
      <w:smallCaps/>
      <w:sz w:val="96"/>
    </w:rPr>
  </w:style>
  <w:style w:type="paragraph" w:customStyle="1" w:styleId="FADividerAofCList">
    <w:name w:val="FA Divider AofC List"/>
    <w:basedOn w:val="Normal"/>
    <w:qFormat/>
    <w:rsid w:val="002F2DC1"/>
    <w:pPr>
      <w:numPr>
        <w:numId w:val="2"/>
      </w:numPr>
    </w:pPr>
    <w:rPr>
      <w:rFonts w:cs="Times New Roman"/>
      <w:color w:val="FFFFFF" w:themeColor="background1"/>
      <w:sz w:val="28"/>
    </w:rPr>
  </w:style>
  <w:style w:type="paragraph" w:customStyle="1" w:styleId="ATParticipantsTITLE">
    <w:name w:val="AT Participants TITLE"/>
    <w:basedOn w:val="Normal"/>
    <w:next w:val="Normal"/>
    <w:qFormat/>
    <w:rsid w:val="00114F5D"/>
    <w:rPr>
      <w:b/>
      <w:sz w:val="24"/>
    </w:rPr>
  </w:style>
  <w:style w:type="paragraph" w:customStyle="1" w:styleId="Table-ActionStepsTiming">
    <w:name w:val="Table-Action Steps Timing"/>
    <w:basedOn w:val="Normal"/>
    <w:qFormat/>
    <w:rsid w:val="003A34B8"/>
    <w:pPr>
      <w:ind w:left="343"/>
    </w:pPr>
    <w:rPr>
      <w:b/>
      <w:sz w:val="20"/>
    </w:rPr>
  </w:style>
  <w:style w:type="character" w:styleId="Hyperlink">
    <w:name w:val="Hyperlink"/>
    <w:basedOn w:val="DefaultParagraphFont"/>
    <w:uiPriority w:val="99"/>
    <w:unhideWhenUsed/>
    <w:rsid w:val="0013605A"/>
    <w:rPr>
      <w:color w:val="0563C1" w:themeColor="hyperlink"/>
      <w:u w:val="single"/>
    </w:rPr>
  </w:style>
  <w:style w:type="paragraph" w:styleId="Revision">
    <w:name w:val="Revision"/>
    <w:hidden/>
    <w:uiPriority w:val="99"/>
    <w:semiHidden/>
    <w:rsid w:val="005852BC"/>
    <w:pPr>
      <w:spacing w:after="0" w:line="240" w:lineRule="auto"/>
    </w:pPr>
  </w:style>
  <w:style w:type="table" w:styleId="TableGrid">
    <w:name w:val="Table Grid"/>
    <w:basedOn w:val="TableNormal"/>
    <w:uiPriority w:val="39"/>
    <w:rsid w:val="00C0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D78EA"/>
    <w:pPr>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ED78EA"/>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9777">
      <w:bodyDiv w:val="1"/>
      <w:marLeft w:val="0"/>
      <w:marRight w:val="0"/>
      <w:marTop w:val="0"/>
      <w:marBottom w:val="0"/>
      <w:divBdr>
        <w:top w:val="none" w:sz="0" w:space="0" w:color="auto"/>
        <w:left w:val="none" w:sz="0" w:space="0" w:color="auto"/>
        <w:bottom w:val="none" w:sz="0" w:space="0" w:color="auto"/>
        <w:right w:val="none" w:sz="0" w:space="0" w:color="auto"/>
      </w:divBdr>
    </w:div>
    <w:div w:id="1438258090">
      <w:bodyDiv w:val="1"/>
      <w:marLeft w:val="0"/>
      <w:marRight w:val="0"/>
      <w:marTop w:val="0"/>
      <w:marBottom w:val="0"/>
      <w:divBdr>
        <w:top w:val="none" w:sz="0" w:space="0" w:color="auto"/>
        <w:left w:val="none" w:sz="0" w:space="0" w:color="auto"/>
        <w:bottom w:val="none" w:sz="0" w:space="0" w:color="auto"/>
        <w:right w:val="none" w:sz="0" w:space="0" w:color="auto"/>
      </w:divBdr>
    </w:div>
    <w:div w:id="20760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gov/dph/cwp/view.asp?a=3130&amp;Q=554484&amp;PM=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131A5.267101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131A5.267101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0E39-9372-43E9-93BB-98AF752E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Outdoor Air Qualty: Increasing Public Awareness</vt:lpstr>
    </vt:vector>
  </TitlesOfParts>
  <Company>Hewlett-Packard Company</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Air Qualty: Increasing Public Awareness</dc:title>
  <dc:creator>DPH-Student1</dc:creator>
  <cp:lastModifiedBy>Bob De Cosmo</cp:lastModifiedBy>
  <cp:revision>2</cp:revision>
  <cp:lastPrinted>2018-03-26T18:42:00Z</cp:lastPrinted>
  <dcterms:created xsi:type="dcterms:W3CDTF">2018-07-03T12:43:00Z</dcterms:created>
  <dcterms:modified xsi:type="dcterms:W3CDTF">2018-07-03T12:43:00Z</dcterms:modified>
</cp:coreProperties>
</file>